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FB52A" w14:textId="6C51367A" w:rsidR="00356E45" w:rsidRPr="002A3225" w:rsidRDefault="00356E45" w:rsidP="00B97FB5">
      <w:pPr>
        <w:jc w:val="center"/>
        <w:rPr>
          <w:rFonts w:ascii="黑体" w:eastAsia="黑体" w:hAnsi="黑体" w:hint="eastAsia"/>
          <w:sz w:val="44"/>
          <w:szCs w:val="44"/>
        </w:rPr>
      </w:pPr>
      <w:r w:rsidRPr="002A3225">
        <w:rPr>
          <w:rFonts w:ascii="黑体" w:eastAsia="黑体" w:hAnsi="黑体"/>
          <w:sz w:val="44"/>
          <w:szCs w:val="44"/>
        </w:rPr>
        <w:t>包容性</w:t>
      </w:r>
      <w:r w:rsidR="00B9237F" w:rsidRPr="002A3225">
        <w:rPr>
          <w:rFonts w:ascii="黑体" w:eastAsia="黑体" w:hAnsi="黑体" w:hint="eastAsia"/>
          <w:sz w:val="44"/>
          <w:szCs w:val="44"/>
        </w:rPr>
        <w:t>权力，</w:t>
      </w:r>
      <w:r w:rsidRPr="002A3225">
        <w:rPr>
          <w:rFonts w:ascii="黑体" w:eastAsia="黑体" w:hAnsi="黑体"/>
          <w:sz w:val="44"/>
          <w:szCs w:val="44"/>
        </w:rPr>
        <w:t>中国-东盟数字治理中的制度“双重异化”与东盟中心地位的困境</w:t>
      </w:r>
    </w:p>
    <w:p w14:paraId="0FF513B6" w14:textId="7C744A97" w:rsidR="00F674CD" w:rsidRDefault="00F674CD" w:rsidP="00B97FB5">
      <w:pPr>
        <w:jc w:val="center"/>
        <w:rPr>
          <w:rFonts w:ascii="黑体" w:eastAsia="黑体" w:hAnsi="黑体" w:hint="eastAsia"/>
          <w:sz w:val="28"/>
          <w:szCs w:val="28"/>
        </w:rPr>
      </w:pPr>
      <w:r w:rsidRPr="002A3225">
        <w:rPr>
          <w:rFonts w:ascii="黑体" w:eastAsia="黑体" w:hAnsi="黑体" w:hint="eastAsia"/>
          <w:sz w:val="28"/>
          <w:szCs w:val="28"/>
        </w:rPr>
        <w:t>符瑞 湖北省社会科学院</w:t>
      </w:r>
    </w:p>
    <w:p w14:paraId="5C8843C3" w14:textId="2E11D0C1" w:rsidR="008A67CF" w:rsidRPr="00CB29DD" w:rsidRDefault="008A67CF" w:rsidP="00B97FB5">
      <w:pPr>
        <w:jc w:val="center"/>
        <w:rPr>
          <w:rFonts w:ascii="黑体" w:eastAsia="黑体" w:hAnsi="黑体" w:hint="eastAsia"/>
          <w:sz w:val="24"/>
          <w:szCs w:val="24"/>
        </w:rPr>
      </w:pPr>
      <w:r w:rsidRPr="00CB29DD">
        <w:rPr>
          <w:rFonts w:ascii="黑体" w:eastAsia="黑体" w:hAnsi="黑体" w:hint="eastAsia"/>
          <w:sz w:val="24"/>
          <w:szCs w:val="24"/>
        </w:rPr>
        <w:t>邮箱：</w:t>
      </w:r>
      <w:r w:rsidR="00CB29DD" w:rsidRPr="00342433">
        <w:rPr>
          <w:rFonts w:ascii="黑体" w:eastAsia="黑体" w:hAnsi="黑体" w:hint="eastAsia"/>
          <w:sz w:val="24"/>
          <w:szCs w:val="24"/>
        </w:rPr>
        <w:t>RF</w:t>
      </w:r>
      <w:r w:rsidR="00CB29DD" w:rsidRPr="00342433">
        <w:rPr>
          <w:rFonts w:ascii="黑体" w:eastAsia="黑体" w:hAnsi="黑体"/>
          <w:sz w:val="24"/>
          <w:szCs w:val="24"/>
        </w:rPr>
        <w:t>u</w:t>
      </w:r>
      <w:r w:rsidR="00CB29DD" w:rsidRPr="00342433">
        <w:rPr>
          <w:rFonts w:ascii="黑体" w:eastAsia="黑体" w:hAnsi="黑体" w:hint="eastAsia"/>
          <w:sz w:val="24"/>
          <w:szCs w:val="24"/>
        </w:rPr>
        <w:t>_15@163.com</w:t>
      </w:r>
      <w:r w:rsidR="00CB29DD" w:rsidRPr="00CB29DD">
        <w:rPr>
          <w:rFonts w:ascii="黑体" w:eastAsia="黑体" w:hAnsi="黑体" w:hint="eastAsia"/>
          <w:sz w:val="24"/>
          <w:szCs w:val="24"/>
        </w:rPr>
        <w:t xml:space="preserve">           电话：19800357952</w:t>
      </w:r>
    </w:p>
    <w:p w14:paraId="21EB5812" w14:textId="77777777" w:rsidR="00CD3181" w:rsidRDefault="00CD3181" w:rsidP="00B97FB5">
      <w:pPr>
        <w:jc w:val="center"/>
        <w:rPr>
          <w:rFonts w:eastAsiaTheme="minorHAnsi" w:hint="eastAsia"/>
          <w:sz w:val="28"/>
          <w:szCs w:val="28"/>
        </w:rPr>
      </w:pPr>
    </w:p>
    <w:p w14:paraId="35C5978F" w14:textId="23485855" w:rsidR="00441638" w:rsidRPr="002A3225" w:rsidRDefault="00CD3181" w:rsidP="0011266E">
      <w:pPr>
        <w:spacing w:line="400" w:lineRule="exact"/>
        <w:ind w:firstLineChars="100" w:firstLine="240"/>
        <w:rPr>
          <w:rFonts w:ascii="黑体" w:eastAsia="黑体" w:hAnsi="黑体" w:hint="eastAsia"/>
          <w:sz w:val="24"/>
          <w:szCs w:val="24"/>
        </w:rPr>
      </w:pPr>
      <w:r w:rsidRPr="002A3225">
        <w:rPr>
          <w:rFonts w:ascii="黑体" w:eastAsia="黑体" w:hAnsi="黑体" w:hint="eastAsia"/>
          <w:sz w:val="24"/>
          <w:szCs w:val="24"/>
        </w:rPr>
        <w:t>摘要:</w:t>
      </w:r>
      <w:r w:rsidRPr="002A3225">
        <w:rPr>
          <w:rFonts w:ascii="黑体" w:eastAsia="黑体" w:hAnsi="黑体"/>
          <w:sz w:val="24"/>
          <w:szCs w:val="24"/>
        </w:rPr>
        <w:t>本文构建“双重异化”理论框架，剖析人工智能时代大国战略竞争对地区制度功能的深刻重构。以中国—东盟数字治理互动为经验场域，本研究揭示：大国通过“系统性嵌入”，促使地区制度发生双重嬗变。其一，合作网络从促进集体行动的“协调机制”异化为进行技术联盟区隔的“结构性壁垒”；其二，治理话语从凝聚共识的“规范框架”异化为诱发内部认同分裂的“规则竞争场域”。这一过程不仅导致东盟面临中心性弱化与战略自主受损的困境，更昭示国际制度在高端战略竞争中的工具化本质。本研究突破了将制度视为中性合作平台的传统理论预设，论证了制度本身已成为大国争夺“元治理”权、重塑未来秩序的核心政治载体，为理解数字时代权力形态的流变与地区秩序的分化提供了关键的理论透镜。</w:t>
      </w:r>
    </w:p>
    <w:p w14:paraId="0149BF61" w14:textId="710CB13F" w:rsidR="00F5159F" w:rsidRPr="002A3225" w:rsidRDefault="00F5159F" w:rsidP="0011266E">
      <w:pPr>
        <w:spacing w:line="400" w:lineRule="exact"/>
        <w:ind w:firstLineChars="100" w:firstLine="240"/>
        <w:rPr>
          <w:rFonts w:ascii="黑体" w:eastAsia="黑体" w:hAnsi="黑体" w:hint="eastAsia"/>
          <w:sz w:val="24"/>
          <w:szCs w:val="24"/>
        </w:rPr>
      </w:pPr>
      <w:r w:rsidRPr="002A3225">
        <w:rPr>
          <w:rFonts w:ascii="黑体" w:eastAsia="黑体" w:hAnsi="黑体" w:hint="eastAsia"/>
          <w:sz w:val="24"/>
          <w:szCs w:val="24"/>
        </w:rPr>
        <w:t>关键词：人工智能、双重异化、制度竞争、全球治理、数字治理</w:t>
      </w:r>
    </w:p>
    <w:p w14:paraId="183FD652" w14:textId="77777777" w:rsidR="00467D46" w:rsidRPr="002A3225" w:rsidRDefault="00467D46" w:rsidP="00CD3181">
      <w:pPr>
        <w:ind w:firstLineChars="100" w:firstLine="440"/>
        <w:rPr>
          <w:rFonts w:ascii="黑体" w:eastAsia="黑体" w:hAnsi="黑体" w:hint="eastAsia"/>
          <w:sz w:val="44"/>
          <w:szCs w:val="44"/>
        </w:rPr>
      </w:pPr>
    </w:p>
    <w:p w14:paraId="6CEC9814" w14:textId="63C70053" w:rsidR="00441638" w:rsidRPr="002A3225" w:rsidRDefault="00B9237F" w:rsidP="00B97FB5">
      <w:pPr>
        <w:rPr>
          <w:rFonts w:ascii="黑体" w:eastAsia="黑体" w:hAnsi="黑体" w:hint="eastAsia"/>
          <w:sz w:val="36"/>
          <w:szCs w:val="36"/>
        </w:rPr>
      </w:pPr>
      <w:bookmarkStart w:id="0" w:name="_Hlk215834991"/>
      <w:r w:rsidRPr="002A3225">
        <w:rPr>
          <w:rFonts w:ascii="黑体" w:eastAsia="黑体" w:hAnsi="黑体" w:hint="eastAsia"/>
          <w:sz w:val="36"/>
          <w:szCs w:val="36"/>
        </w:rPr>
        <w:t>一</w:t>
      </w:r>
      <w:r w:rsidR="00441638" w:rsidRPr="002A3225">
        <w:rPr>
          <w:rFonts w:ascii="黑体" w:eastAsia="黑体" w:hAnsi="黑体"/>
          <w:sz w:val="36"/>
          <w:szCs w:val="36"/>
        </w:rPr>
        <w:t>、引言：东盟场域中的合作悖论</w:t>
      </w:r>
    </w:p>
    <w:bookmarkEnd w:id="0"/>
    <w:p w14:paraId="43644382" w14:textId="77161B6F" w:rsidR="00FB7B93" w:rsidRPr="00D20D2C" w:rsidRDefault="002261C9" w:rsidP="00826C94">
      <w:pPr>
        <w:spacing w:line="360" w:lineRule="auto"/>
        <w:ind w:firstLineChars="200" w:firstLine="480"/>
        <w:rPr>
          <w:rFonts w:ascii="宋体" w:eastAsia="宋体" w:hAnsi="宋体" w:hint="eastAsia"/>
          <w:sz w:val="24"/>
          <w:szCs w:val="24"/>
        </w:rPr>
      </w:pPr>
      <w:r w:rsidRPr="00D20D2C">
        <w:rPr>
          <w:rFonts w:ascii="宋体" w:eastAsia="宋体" w:hAnsi="宋体" w:hint="eastAsia"/>
          <w:sz w:val="24"/>
          <w:szCs w:val="24"/>
        </w:rPr>
        <w:t>第四次工业浪潮在如今相互依赖更加深刻的全球化时代中显得更为声势浩大，其核心特征在于融合性——技术不再孤立发展，而是相互嵌套、发展，以AI（</w:t>
      </w:r>
      <w:r w:rsidRPr="00D20D2C">
        <w:rPr>
          <w:rFonts w:ascii="宋体" w:eastAsia="宋体" w:hAnsi="宋体"/>
          <w:sz w:val="24"/>
          <w:szCs w:val="24"/>
        </w:rPr>
        <w:t>Artificial Intelligence</w:t>
      </w:r>
      <w:r w:rsidRPr="00D20D2C">
        <w:rPr>
          <w:rFonts w:ascii="宋体" w:eastAsia="宋体" w:hAnsi="宋体" w:hint="eastAsia"/>
          <w:sz w:val="24"/>
          <w:szCs w:val="24"/>
        </w:rPr>
        <w:t>）为代表的具有“技术集群效应”让变革的速度呈指数级增长。</w:t>
      </w:r>
      <w:r w:rsidRPr="00D20D2C">
        <w:rPr>
          <w:rFonts w:ascii="宋体" w:eastAsia="宋体" w:hAnsi="宋体" w:hint="eastAsia"/>
          <w:sz w:val="24"/>
          <w:szCs w:val="24"/>
          <w:vertAlign w:val="superscript"/>
        </w:rPr>
        <w:t>①</w:t>
      </w:r>
      <w:r w:rsidR="008824BE" w:rsidRPr="00D20D2C">
        <w:rPr>
          <w:rFonts w:ascii="宋体" w:eastAsia="宋体" w:hAnsi="宋体"/>
          <w:sz w:val="24"/>
          <w:szCs w:val="24"/>
        </w:rPr>
        <w:t>随着人工智能技术代际演进加速，全球主要行为体围绕该领域的战略主导权展开激烈竞逐。国家在人工智能全球技术生态中所占据的市场份额与技术标准制定权，正日益转化为关键性的权力资源，从而深度介入国际力量对比的重构进程，并系统性塑造未来国际秩序的基本样态。各国基于既有经济基础、战略布局能力与科技积淀所形成的复合性比较优势存在显著差异，这直接导致了其在人工智能产业发展与治理体系建设上的成效分野。此种分野催生了两种显著的路径分化：一方是技术主导国试图通过构建排他性“小院高墙”，巩固其技术霸权与规则主导地位，以遏制新兴技术体的崛起；另一方则是众多国家通过形成</w:t>
      </w:r>
      <w:r w:rsidR="008824BE" w:rsidRPr="00D20D2C">
        <w:rPr>
          <w:rFonts w:ascii="宋体" w:eastAsia="宋体" w:hAnsi="宋体"/>
          <w:sz w:val="24"/>
          <w:szCs w:val="24"/>
        </w:rPr>
        <w:lastRenderedPageBreak/>
        <w:t>区域性技术联盟与治理合作机制，以协同创新与规制协调的方式，力图在快速迭代的技术浪潮中保持关键竞争力，避免被边缘化于新一轮科技革命所定义的国际格局之外。将目光投向东南亚地区，这一区域正以东盟为核心协调机制，积极拥抱全球数字化转型浪潮，将人工智能置于区域发展的核心战略议程，推动着一场深刻的技术与社会系统性变革。</w:t>
      </w:r>
      <w:r w:rsidR="00396042" w:rsidRPr="00D20D2C">
        <w:rPr>
          <w:rFonts w:ascii="宋体" w:eastAsia="宋体" w:hAnsi="宋体" w:hint="eastAsia"/>
          <w:sz w:val="24"/>
          <w:szCs w:val="24"/>
        </w:rPr>
        <w:t>在东盟合作场域中正发生着中国以参与东盟制度改变东盟多边交易成本和创造制度依赖性侵蚀东盟中心性的“双重异化”的现实困境。</w:t>
      </w:r>
    </w:p>
    <w:p w14:paraId="5B9ACC2D" w14:textId="26276132" w:rsidR="00120319" w:rsidRPr="00D20D2C" w:rsidRDefault="008824BE" w:rsidP="00826C94">
      <w:pPr>
        <w:spacing w:line="360" w:lineRule="auto"/>
        <w:ind w:firstLineChars="200" w:firstLine="480"/>
        <w:rPr>
          <w:rFonts w:ascii="宋体" w:eastAsia="宋体" w:hAnsi="宋体" w:hint="eastAsia"/>
          <w:sz w:val="24"/>
          <w:szCs w:val="24"/>
        </w:rPr>
      </w:pPr>
      <w:r w:rsidRPr="00D20D2C">
        <w:rPr>
          <w:rFonts w:ascii="宋体" w:eastAsia="宋体" w:hAnsi="宋体"/>
          <w:sz w:val="24"/>
          <w:szCs w:val="24"/>
        </w:rPr>
        <w:t>从中国—东盟关系的战略实践来看，中国始终将对东盟中心地位的尊重贯穿于区域多边进程之中。在东亚峰会、东盟“10+3”等机制性平台内，中国持续展现建设性支持姿态，在巩固传统领域合作的同时，积极推动双方在人工智能等新兴治理领域形成共识。这一过程不仅有助于塑造面向未来的区域性制度安排，也通过主动融入并援引以东盟为核心的制度架构，体现了中国对开放包容的地区多边主义的制度性承诺。</w:t>
      </w:r>
      <w:r w:rsidR="00B04590" w:rsidRPr="00D20D2C">
        <w:rPr>
          <w:rFonts w:ascii="宋体" w:eastAsia="宋体" w:hAnsi="宋体" w:hint="eastAsia"/>
          <w:sz w:val="24"/>
          <w:szCs w:val="24"/>
        </w:rPr>
        <w:t>另一方面，通过国内制度的延伸，外化为国际倡议、国际项目，将东盟国家纳入自身发展的渠道，通过包容性制度制衡实现联结沿线区域国家，确立技术合作的各项规则、带来基础性设施、加强人才交流培养，又在悄然重塑该地区权力结构，这种制度内合作、制度外塑造并存，给新自由主义带来了何种挑战？</w:t>
      </w:r>
    </w:p>
    <w:p w14:paraId="51529B6C" w14:textId="4322D1E6" w:rsidR="00AF7D4D" w:rsidRPr="00D20D2C" w:rsidRDefault="00AF7D4D" w:rsidP="00826C94">
      <w:pPr>
        <w:spacing w:line="360" w:lineRule="auto"/>
        <w:ind w:firstLine="420"/>
        <w:rPr>
          <w:rFonts w:ascii="宋体" w:eastAsia="宋体" w:hAnsi="宋体" w:hint="eastAsia"/>
          <w:sz w:val="24"/>
          <w:szCs w:val="24"/>
        </w:rPr>
      </w:pPr>
      <w:r w:rsidRPr="00D20D2C">
        <w:rPr>
          <w:rFonts w:ascii="宋体" w:eastAsia="宋体" w:hAnsi="宋体" w:hint="eastAsia"/>
          <w:sz w:val="24"/>
          <w:szCs w:val="24"/>
        </w:rPr>
        <w:t>本文认为，中国在东南亚的数字战略，正在发生一场静默的“双重异化”。</w:t>
      </w:r>
      <w:r w:rsidRPr="00D20D2C">
        <w:rPr>
          <w:rFonts w:ascii="宋体" w:eastAsia="宋体" w:hAnsi="宋体"/>
          <w:sz w:val="24"/>
          <w:szCs w:val="24"/>
        </w:rPr>
        <w:t>第一重异化：中国通过参与和赋能东盟制度，降低了东盟国家与华合作的“政治交易成本”，但此举同时异化并抬高了东盟与域外其他行为体进行深度技术整合的“战略交易成本”，在制度内部筑起了“软性隔离墙”。第二重异化：中国主导的“数字丝绸之路”</w:t>
      </w:r>
      <w:r w:rsidR="00CF1166" w:rsidRPr="00D20D2C">
        <w:rPr>
          <w:rFonts w:ascii="宋体" w:eastAsia="宋体" w:hAnsi="宋体" w:hint="eastAsia"/>
          <w:sz w:val="24"/>
          <w:szCs w:val="24"/>
        </w:rPr>
        <w:t>等制度</w:t>
      </w:r>
      <w:r w:rsidRPr="00D20D2C">
        <w:rPr>
          <w:rFonts w:ascii="宋体" w:eastAsia="宋体" w:hAnsi="宋体"/>
          <w:sz w:val="24"/>
          <w:szCs w:val="24"/>
        </w:rPr>
        <w:t>与东盟自生的治理框架并行，为东南亚各国提供了表面上扩大的“规则选择权”，但实际上创造了更深层次的</w:t>
      </w:r>
      <w:r w:rsidRPr="00D20D2C">
        <w:rPr>
          <w:rFonts w:ascii="宋体" w:eastAsia="宋体" w:hAnsi="宋体" w:cs="Calibri"/>
          <w:sz w:val="24"/>
          <w:szCs w:val="24"/>
        </w:rPr>
        <w:t> </w:t>
      </w:r>
      <w:r w:rsidRPr="00D20D2C">
        <w:rPr>
          <w:rFonts w:ascii="宋体" w:eastAsia="宋体" w:hAnsi="宋体" w:cs="黑体" w:hint="eastAsia"/>
          <w:sz w:val="24"/>
          <w:szCs w:val="24"/>
        </w:rPr>
        <w:t>“</w:t>
      </w:r>
      <w:r w:rsidRPr="00D20D2C">
        <w:rPr>
          <w:rFonts w:ascii="宋体" w:eastAsia="宋体" w:hAnsi="宋体"/>
          <w:sz w:val="24"/>
          <w:szCs w:val="24"/>
        </w:rPr>
        <w:t>规则依赖困境”与“战略选边不确定性”</w:t>
      </w:r>
      <w:r w:rsidRPr="00D20D2C">
        <w:rPr>
          <w:rFonts w:ascii="宋体" w:eastAsia="宋体" w:hAnsi="宋体" w:cs="Calibri"/>
          <w:sz w:val="24"/>
          <w:szCs w:val="24"/>
        </w:rPr>
        <w:t> </w:t>
      </w:r>
      <w:r w:rsidRPr="00D20D2C">
        <w:rPr>
          <w:rFonts w:ascii="宋体" w:eastAsia="宋体" w:hAnsi="宋体"/>
          <w:sz w:val="24"/>
          <w:szCs w:val="24"/>
        </w:rPr>
        <w:t>，侵蚀了东盟中心地位的自主性。</w:t>
      </w:r>
      <w:r w:rsidR="003338A7" w:rsidRPr="00D20D2C">
        <w:rPr>
          <w:rFonts w:ascii="宋体" w:eastAsia="宋体" w:hAnsi="宋体"/>
          <w:sz w:val="24"/>
          <w:szCs w:val="24"/>
        </w:rPr>
        <w:t>本研究通过东南亚这一“制度竞争实验场”，揭示了当大国战略以“包容性”和“多边主义”面貌嵌入地区制度时，所引发的更为复杂和隐蔽的制度功能异化，从而推动新自由制度主义理论在中小国家集团语境下的批判性发展。</w:t>
      </w:r>
    </w:p>
    <w:p w14:paraId="42B01184" w14:textId="76C51A74" w:rsidR="00D42052" w:rsidRPr="002A3225" w:rsidRDefault="00B9237F" w:rsidP="00D3795A">
      <w:pPr>
        <w:rPr>
          <w:rFonts w:ascii="黑体" w:eastAsia="黑体" w:hAnsi="黑体" w:hint="eastAsia"/>
          <w:sz w:val="36"/>
          <w:szCs w:val="36"/>
        </w:rPr>
      </w:pPr>
      <w:r w:rsidRPr="002A3225">
        <w:rPr>
          <w:rFonts w:ascii="黑体" w:eastAsia="黑体" w:hAnsi="黑体" w:hint="eastAsia"/>
          <w:sz w:val="36"/>
          <w:szCs w:val="36"/>
        </w:rPr>
        <w:t>二</w:t>
      </w:r>
      <w:r w:rsidR="00D42052" w:rsidRPr="002A3225">
        <w:rPr>
          <w:rFonts w:ascii="黑体" w:eastAsia="黑体" w:hAnsi="黑体"/>
          <w:sz w:val="36"/>
          <w:szCs w:val="36"/>
        </w:rPr>
        <w:t>、理论框架：新自由制度主义在地区语境与“包容性异化”</w:t>
      </w:r>
    </w:p>
    <w:p w14:paraId="3D172754" w14:textId="43D07CBC" w:rsidR="003F22EA" w:rsidRPr="00D20D2C" w:rsidRDefault="003F22EA" w:rsidP="00826C94">
      <w:pPr>
        <w:spacing w:line="360" w:lineRule="auto"/>
        <w:ind w:firstLine="420"/>
        <w:rPr>
          <w:rFonts w:ascii="宋体" w:eastAsia="宋体" w:hAnsi="宋体" w:hint="eastAsia"/>
          <w:sz w:val="24"/>
          <w:szCs w:val="24"/>
        </w:rPr>
      </w:pPr>
      <w:r w:rsidRPr="00D20D2C">
        <w:rPr>
          <w:rFonts w:ascii="宋体" w:eastAsia="宋体" w:hAnsi="宋体" w:hint="eastAsia"/>
          <w:sz w:val="24"/>
          <w:szCs w:val="24"/>
        </w:rPr>
        <w:lastRenderedPageBreak/>
        <w:t>地区性新自由主义强调区域性国际组织通过建立规范、提供对话平台、设立制度等方式来成员国能动性，尤其是在应对域外大国时维护“中心地位”与战略自主，具体到东盟则是始于其在《东盟宪章》提出的“维护东盟在开放、透明</w:t>
      </w:r>
      <w:r w:rsidR="00B0681C" w:rsidRPr="00D20D2C">
        <w:rPr>
          <w:rFonts w:ascii="宋体" w:eastAsia="宋体" w:hAnsi="宋体" w:hint="eastAsia"/>
          <w:sz w:val="24"/>
          <w:szCs w:val="24"/>
        </w:rPr>
        <w:t>和</w:t>
      </w:r>
      <w:r w:rsidRPr="00D20D2C">
        <w:rPr>
          <w:rFonts w:ascii="宋体" w:eastAsia="宋体" w:hAnsi="宋体" w:hint="eastAsia"/>
          <w:sz w:val="24"/>
          <w:szCs w:val="24"/>
        </w:rPr>
        <w:t>包容</w:t>
      </w:r>
      <w:r w:rsidR="00B0681C" w:rsidRPr="00D20D2C">
        <w:rPr>
          <w:rFonts w:ascii="宋体" w:eastAsia="宋体" w:hAnsi="宋体" w:hint="eastAsia"/>
          <w:sz w:val="24"/>
          <w:szCs w:val="24"/>
        </w:rPr>
        <w:t>的地区架构中的中心地位和积极作用</w:t>
      </w:r>
      <w:r w:rsidRPr="00D20D2C">
        <w:rPr>
          <w:rFonts w:ascii="宋体" w:eastAsia="宋体" w:hAnsi="宋体" w:hint="eastAsia"/>
          <w:sz w:val="24"/>
          <w:szCs w:val="24"/>
        </w:rPr>
        <w:t>”</w:t>
      </w:r>
      <w:r w:rsidR="00B0681C" w:rsidRPr="00D20D2C">
        <w:rPr>
          <w:rFonts w:ascii="宋体" w:eastAsia="宋体" w:hAnsi="宋体" w:hint="eastAsia"/>
          <w:sz w:val="24"/>
          <w:szCs w:val="24"/>
        </w:rPr>
        <w:t>，并在其以后的地区实践中维护自身权益、维持自身区域领导权得到了充分的应用。</w:t>
      </w:r>
    </w:p>
    <w:p w14:paraId="406D9F9E" w14:textId="0C0F91EA" w:rsidR="00B0681C" w:rsidRPr="00D20D2C" w:rsidRDefault="00B0681C" w:rsidP="00826C94">
      <w:pPr>
        <w:spacing w:line="360" w:lineRule="auto"/>
        <w:ind w:firstLine="420"/>
        <w:rPr>
          <w:rFonts w:ascii="宋体" w:eastAsia="宋体" w:hAnsi="宋体" w:hint="eastAsia"/>
          <w:sz w:val="24"/>
          <w:szCs w:val="24"/>
        </w:rPr>
      </w:pPr>
      <w:r w:rsidRPr="00D20D2C">
        <w:rPr>
          <w:rFonts w:ascii="宋体" w:eastAsia="宋体" w:hAnsi="宋体" w:hint="eastAsia"/>
          <w:sz w:val="24"/>
          <w:szCs w:val="24"/>
        </w:rPr>
        <w:t>然而，东盟的“中心性”并非始终掌握在东盟手中，在人工智能领域则是受到了不同程度</w:t>
      </w:r>
      <w:r w:rsidR="006F2C9A" w:rsidRPr="00D20D2C">
        <w:rPr>
          <w:rFonts w:ascii="宋体" w:eastAsia="宋体" w:hAnsi="宋体" w:hint="eastAsia"/>
          <w:sz w:val="24"/>
          <w:szCs w:val="24"/>
        </w:rPr>
        <w:t>冲击，面临着域外大国和集团的介入，东盟的地区性新自由制度主义则是出现了双重异化。</w:t>
      </w:r>
    </w:p>
    <w:p w14:paraId="2498B7E1" w14:textId="6B9D2BAB" w:rsidR="008B50AF" w:rsidRPr="00D20D2C" w:rsidRDefault="00E25B1A" w:rsidP="00826C94">
      <w:pPr>
        <w:spacing w:line="360" w:lineRule="auto"/>
        <w:ind w:firstLine="420"/>
        <w:rPr>
          <w:rFonts w:ascii="宋体" w:eastAsia="宋体" w:hAnsi="宋体" w:hint="eastAsia"/>
          <w:sz w:val="24"/>
          <w:szCs w:val="24"/>
        </w:rPr>
      </w:pPr>
      <w:r w:rsidRPr="00D20D2C">
        <w:rPr>
          <w:rFonts w:ascii="宋体" w:eastAsia="宋体" w:hAnsi="宋体" w:hint="eastAsia"/>
          <w:sz w:val="24"/>
          <w:szCs w:val="24"/>
        </w:rPr>
        <w:t>2.1</w:t>
      </w:r>
      <w:r w:rsidR="008B50AF" w:rsidRPr="00D20D2C">
        <w:rPr>
          <w:rFonts w:ascii="宋体" w:eastAsia="宋体" w:hAnsi="宋体" w:hint="eastAsia"/>
          <w:sz w:val="24"/>
          <w:szCs w:val="24"/>
        </w:rPr>
        <w:t>第一重异化</w:t>
      </w:r>
      <w:r w:rsidRPr="00D20D2C">
        <w:rPr>
          <w:rFonts w:ascii="宋体" w:eastAsia="宋体" w:hAnsi="宋体" w:hint="eastAsia"/>
          <w:sz w:val="24"/>
          <w:szCs w:val="24"/>
        </w:rPr>
        <w:t>：制度功能的“选择性润滑”与“软性排斥”</w:t>
      </w:r>
      <w:r w:rsidR="006A755E" w:rsidRPr="00D20D2C">
        <w:rPr>
          <w:rFonts w:ascii="宋体" w:eastAsia="宋体" w:hAnsi="宋体" w:hint="eastAsia"/>
          <w:sz w:val="24"/>
          <w:szCs w:val="24"/>
        </w:rPr>
        <w:t>：</w:t>
      </w:r>
    </w:p>
    <w:p w14:paraId="442B25AC" w14:textId="26A8D705" w:rsidR="00E25B1A" w:rsidRPr="00D20D2C" w:rsidRDefault="00E25B1A" w:rsidP="00826C94">
      <w:pPr>
        <w:spacing w:line="360" w:lineRule="auto"/>
        <w:ind w:firstLine="420"/>
        <w:rPr>
          <w:rFonts w:ascii="宋体" w:eastAsia="宋体" w:hAnsi="宋体" w:hint="eastAsia"/>
          <w:sz w:val="24"/>
          <w:szCs w:val="24"/>
        </w:rPr>
      </w:pPr>
      <w:r w:rsidRPr="00D20D2C">
        <w:rPr>
          <w:rFonts w:ascii="宋体" w:eastAsia="宋体" w:hAnsi="宋体" w:hint="eastAsia"/>
          <w:sz w:val="24"/>
          <w:szCs w:val="24"/>
        </w:rPr>
        <w:t>域外大国（中国）并非推翻地区制度，而是通过深度融合已有制度、支持东盟在地区的主导权来润滑关系，使得政策推行更为顺利。通过技术援助、能力建设和基础设施供给等手段深度嵌入并“润滑”其与</w:t>
      </w:r>
      <w:r w:rsidR="000C2FFD" w:rsidRPr="00D20D2C">
        <w:rPr>
          <w:rFonts w:ascii="宋体" w:eastAsia="宋体" w:hAnsi="宋体" w:hint="eastAsia"/>
          <w:sz w:val="24"/>
          <w:szCs w:val="24"/>
        </w:rPr>
        <w:t>东盟</w:t>
      </w:r>
      <w:r w:rsidRPr="00D20D2C">
        <w:rPr>
          <w:rFonts w:ascii="宋体" w:eastAsia="宋体" w:hAnsi="宋体" w:hint="eastAsia"/>
          <w:sz w:val="24"/>
          <w:szCs w:val="24"/>
        </w:rPr>
        <w:t>的合作流程</w:t>
      </w:r>
      <w:r w:rsidR="000C2FFD" w:rsidRPr="00D20D2C">
        <w:rPr>
          <w:rFonts w:ascii="宋体" w:eastAsia="宋体" w:hAnsi="宋体" w:hint="eastAsia"/>
          <w:sz w:val="24"/>
          <w:szCs w:val="24"/>
        </w:rPr>
        <w:t>，</w:t>
      </w:r>
      <w:r w:rsidRPr="00D20D2C">
        <w:rPr>
          <w:rFonts w:ascii="宋体" w:eastAsia="宋体" w:hAnsi="宋体" w:hint="eastAsia"/>
          <w:sz w:val="24"/>
          <w:szCs w:val="24"/>
        </w:rPr>
        <w:t>使得</w:t>
      </w:r>
      <w:r w:rsidR="000C2FFD" w:rsidRPr="00D20D2C">
        <w:rPr>
          <w:rFonts w:ascii="宋体" w:eastAsia="宋体" w:hAnsi="宋体" w:hint="eastAsia"/>
          <w:sz w:val="24"/>
          <w:szCs w:val="24"/>
        </w:rPr>
        <w:t>该地区在处理与中国大国关系时异常高效，但在处理与第三方事务时，由于形成了路径依赖与技术锁定，反而产生了隐形的排斥效应。</w:t>
      </w:r>
    </w:p>
    <w:p w14:paraId="5E2C81CC" w14:textId="23E8300E" w:rsidR="000C2FFD" w:rsidRPr="00D20D2C" w:rsidRDefault="000C2FFD" w:rsidP="00826C94">
      <w:pPr>
        <w:spacing w:line="360" w:lineRule="auto"/>
        <w:ind w:firstLine="420"/>
        <w:rPr>
          <w:rFonts w:ascii="宋体" w:eastAsia="宋体" w:hAnsi="宋体" w:hint="eastAsia"/>
          <w:sz w:val="24"/>
          <w:szCs w:val="24"/>
        </w:rPr>
      </w:pPr>
      <w:r w:rsidRPr="00D20D2C">
        <w:rPr>
          <w:rFonts w:ascii="宋体" w:eastAsia="宋体" w:hAnsi="宋体" w:hint="eastAsia"/>
          <w:sz w:val="24"/>
          <w:szCs w:val="24"/>
        </w:rPr>
        <w:t>2.2第二重异化：制度权威的“稀释”与“规则选择的陷阱”</w:t>
      </w:r>
    </w:p>
    <w:p w14:paraId="77B4D27E" w14:textId="1E41F6F3" w:rsidR="00A84B7E" w:rsidRPr="00D20D2C" w:rsidRDefault="00A84B7E" w:rsidP="00826C94">
      <w:pPr>
        <w:spacing w:line="360" w:lineRule="auto"/>
        <w:ind w:firstLine="420"/>
        <w:rPr>
          <w:rFonts w:ascii="宋体" w:eastAsia="宋体" w:hAnsi="宋体" w:hint="eastAsia"/>
          <w:sz w:val="24"/>
          <w:szCs w:val="24"/>
        </w:rPr>
      </w:pPr>
      <w:r w:rsidRPr="00D20D2C">
        <w:rPr>
          <w:rFonts w:ascii="宋体" w:eastAsia="宋体" w:hAnsi="宋体" w:hint="eastAsia"/>
          <w:sz w:val="24"/>
          <w:szCs w:val="24"/>
        </w:rPr>
        <w:t>大国提供的并行合作框架（如数字丝绸之路）以较低的融入成本给东盟国家带来了高效的运作效率与显著的成果，但其与东盟自由框架形成了“制度冗余”。表面上给了成员国更多的选择和发展方向，迫使他们在大国提供的框架间进行</w:t>
      </w:r>
      <w:r w:rsidR="00F04F53" w:rsidRPr="00D20D2C">
        <w:rPr>
          <w:rFonts w:ascii="宋体" w:eastAsia="宋体" w:hAnsi="宋体" w:hint="eastAsia"/>
          <w:sz w:val="24"/>
          <w:szCs w:val="24"/>
        </w:rPr>
        <w:t>机会主义的“制度套利”</w:t>
      </w:r>
      <w:r w:rsidR="00A511A1" w:rsidRPr="00D20D2C">
        <w:rPr>
          <w:rFonts w:ascii="宋体" w:eastAsia="宋体" w:hAnsi="宋体" w:hint="eastAsia"/>
          <w:sz w:val="24"/>
          <w:szCs w:val="24"/>
        </w:rPr>
        <w:t>。这种行为加剧了地区统一立场的碎片化、空心化，让东盟“中心地位”有被架空的风险，从规则的共同制定者沦为规则被动方。</w:t>
      </w:r>
    </w:p>
    <w:p w14:paraId="0802C403" w14:textId="3A6924CD" w:rsidR="00875A1E" w:rsidRPr="00D20D2C" w:rsidRDefault="00875A1E" w:rsidP="00826C94">
      <w:pPr>
        <w:spacing w:line="360" w:lineRule="auto"/>
        <w:ind w:firstLine="420"/>
        <w:rPr>
          <w:rFonts w:ascii="宋体" w:eastAsia="宋体" w:hAnsi="宋体" w:hint="eastAsia"/>
          <w:sz w:val="24"/>
          <w:szCs w:val="24"/>
        </w:rPr>
      </w:pPr>
      <w:r w:rsidRPr="00D20D2C">
        <w:rPr>
          <w:rFonts w:ascii="宋体" w:eastAsia="宋体" w:hAnsi="宋体" w:hint="eastAsia"/>
          <w:sz w:val="24"/>
          <w:szCs w:val="24"/>
        </w:rPr>
        <w:t>由于上述双重异化的存在，东盟在人工智能的区域治理方面受到了不同程度的挑战，理想的东盟“中心性”在大国软介入的情况下出现了分解，区域性权力结构与制度规则不再单一化，在可预见的未来</w:t>
      </w:r>
      <w:r w:rsidR="003806C9" w:rsidRPr="00D20D2C">
        <w:rPr>
          <w:rFonts w:ascii="宋体" w:eastAsia="宋体" w:hAnsi="宋体" w:hint="eastAsia"/>
          <w:sz w:val="24"/>
          <w:szCs w:val="24"/>
        </w:rPr>
        <w:t>可能得到重塑。</w:t>
      </w:r>
    </w:p>
    <w:p w14:paraId="6656256E" w14:textId="21C88F8C" w:rsidR="00366FEA" w:rsidRPr="002A3225" w:rsidRDefault="00B9237F" w:rsidP="00D3795A">
      <w:pPr>
        <w:rPr>
          <w:rFonts w:ascii="黑体" w:eastAsia="黑体" w:hAnsi="黑体" w:hint="eastAsia"/>
          <w:sz w:val="36"/>
          <w:szCs w:val="36"/>
        </w:rPr>
      </w:pPr>
      <w:r w:rsidRPr="002A3225">
        <w:rPr>
          <w:rFonts w:ascii="黑体" w:eastAsia="黑体" w:hAnsi="黑体" w:hint="eastAsia"/>
          <w:sz w:val="36"/>
          <w:szCs w:val="36"/>
        </w:rPr>
        <w:t>三</w:t>
      </w:r>
      <w:r w:rsidR="00366FEA" w:rsidRPr="002A3225">
        <w:rPr>
          <w:rFonts w:ascii="黑体" w:eastAsia="黑体" w:hAnsi="黑体" w:hint="eastAsia"/>
          <w:sz w:val="36"/>
          <w:szCs w:val="36"/>
        </w:rPr>
        <w:t>、</w:t>
      </w:r>
      <w:r w:rsidR="00CF1166" w:rsidRPr="002A3225">
        <w:rPr>
          <w:rFonts w:ascii="黑体" w:eastAsia="黑体" w:hAnsi="黑体" w:hint="eastAsia"/>
          <w:sz w:val="36"/>
          <w:szCs w:val="36"/>
        </w:rPr>
        <w:t>实证分析：中国——东盟数字互动中的双重异化</w:t>
      </w:r>
    </w:p>
    <w:p w14:paraId="56C650B8" w14:textId="5208D4FE" w:rsidR="00414669" w:rsidRPr="002A3225" w:rsidRDefault="00644BB5" w:rsidP="00B97FB5">
      <w:pPr>
        <w:ind w:firstLine="420"/>
        <w:rPr>
          <w:rFonts w:ascii="黑体" w:eastAsia="黑体" w:hAnsi="黑体" w:hint="eastAsia"/>
          <w:sz w:val="24"/>
          <w:szCs w:val="24"/>
        </w:rPr>
      </w:pPr>
      <w:r w:rsidRPr="002A3225">
        <w:rPr>
          <w:rFonts w:ascii="黑体" w:eastAsia="黑体" w:hAnsi="黑体" w:hint="eastAsia"/>
          <w:sz w:val="24"/>
          <w:szCs w:val="24"/>
        </w:rPr>
        <w:t>3</w:t>
      </w:r>
      <w:r w:rsidR="00414669" w:rsidRPr="002A3225">
        <w:rPr>
          <w:rFonts w:ascii="黑体" w:eastAsia="黑体" w:hAnsi="黑体" w:hint="eastAsia"/>
          <w:sz w:val="24"/>
          <w:szCs w:val="24"/>
        </w:rPr>
        <w:t>.1、第一重异化：</w:t>
      </w:r>
      <w:r w:rsidR="00E13337" w:rsidRPr="002A3225">
        <w:rPr>
          <w:rFonts w:ascii="黑体" w:eastAsia="黑体" w:hAnsi="黑体" w:hint="eastAsia"/>
          <w:sz w:val="24"/>
          <w:szCs w:val="24"/>
        </w:rPr>
        <w:t>软化隔离墙</w:t>
      </w:r>
    </w:p>
    <w:p w14:paraId="1ED70230" w14:textId="6F267ED4" w:rsidR="0017375E" w:rsidRPr="002A3225" w:rsidRDefault="0017375E" w:rsidP="00B97FB5">
      <w:pPr>
        <w:ind w:firstLine="420"/>
        <w:rPr>
          <w:rFonts w:ascii="黑体" w:eastAsia="黑体" w:hAnsi="黑体" w:hint="eastAsia"/>
          <w:sz w:val="24"/>
          <w:szCs w:val="24"/>
        </w:rPr>
      </w:pPr>
    </w:p>
    <w:tbl>
      <w:tblPr>
        <w:tblStyle w:val="af4"/>
        <w:tblW w:w="0" w:type="auto"/>
        <w:jc w:val="center"/>
        <w:tblCellMar>
          <w:top w:w="216" w:type="dxa"/>
          <w:left w:w="216" w:type="dxa"/>
          <w:bottom w:w="216" w:type="dxa"/>
          <w:right w:w="216" w:type="dxa"/>
        </w:tblCellMar>
        <w:tblLook w:val="04A0" w:firstRow="1" w:lastRow="0" w:firstColumn="1" w:lastColumn="0" w:noHBand="0" w:noVBand="1"/>
      </w:tblPr>
      <w:tblGrid>
        <w:gridCol w:w="822"/>
        <w:gridCol w:w="692"/>
        <w:gridCol w:w="692"/>
        <w:gridCol w:w="692"/>
        <w:gridCol w:w="822"/>
        <w:gridCol w:w="952"/>
        <w:gridCol w:w="822"/>
        <w:gridCol w:w="692"/>
        <w:gridCol w:w="692"/>
      </w:tblGrid>
      <w:tr w:rsidR="008449F8" w:rsidRPr="002A3225" w14:paraId="5F1F8C9E" w14:textId="77777777" w:rsidTr="00F32263">
        <w:trPr>
          <w:jc w:val="center"/>
        </w:trPr>
        <w:tc>
          <w:tcPr>
            <w:tcW w:w="0" w:type="auto"/>
          </w:tcPr>
          <w:p w14:paraId="7D82D11D" w14:textId="78DD3088" w:rsidR="008449F8" w:rsidRPr="002A3225" w:rsidRDefault="008449F8" w:rsidP="00B97FB5">
            <w:pPr>
              <w:rPr>
                <w:rFonts w:ascii="黑体" w:eastAsia="黑体" w:hAnsi="黑体" w:hint="eastAsia"/>
                <w:sz w:val="13"/>
                <w:szCs w:val="13"/>
              </w:rPr>
            </w:pPr>
            <w:r w:rsidRPr="002A3225">
              <w:rPr>
                <w:rFonts w:ascii="黑体" w:eastAsia="黑体" w:hAnsi="黑体" w:hint="eastAsia"/>
                <w:sz w:val="13"/>
                <w:szCs w:val="13"/>
              </w:rPr>
              <w:t>合作方</w:t>
            </w:r>
          </w:p>
        </w:tc>
        <w:tc>
          <w:tcPr>
            <w:tcW w:w="0" w:type="auto"/>
          </w:tcPr>
          <w:p w14:paraId="1E9D3DA6" w14:textId="5FA39491" w:rsidR="008449F8" w:rsidRPr="002A3225" w:rsidRDefault="008449F8" w:rsidP="00B97FB5">
            <w:pPr>
              <w:rPr>
                <w:rFonts w:ascii="黑体" w:eastAsia="黑体" w:hAnsi="黑体" w:hint="eastAsia"/>
                <w:sz w:val="13"/>
                <w:szCs w:val="13"/>
              </w:rPr>
            </w:pPr>
            <w:r w:rsidRPr="002A3225">
              <w:rPr>
                <w:rFonts w:ascii="黑体" w:eastAsia="黑体" w:hAnsi="黑体" w:hint="eastAsia"/>
                <w:sz w:val="13"/>
                <w:szCs w:val="13"/>
              </w:rPr>
              <w:t>泰国</w:t>
            </w:r>
          </w:p>
        </w:tc>
        <w:tc>
          <w:tcPr>
            <w:tcW w:w="0" w:type="auto"/>
          </w:tcPr>
          <w:p w14:paraId="1152C361" w14:textId="34EC6C35" w:rsidR="008449F8" w:rsidRPr="002A3225" w:rsidRDefault="008449F8" w:rsidP="00B97FB5">
            <w:pPr>
              <w:rPr>
                <w:rFonts w:ascii="黑体" w:eastAsia="黑体" w:hAnsi="黑体" w:hint="eastAsia"/>
                <w:sz w:val="13"/>
                <w:szCs w:val="13"/>
              </w:rPr>
            </w:pPr>
            <w:r w:rsidRPr="002A3225">
              <w:rPr>
                <w:rFonts w:ascii="黑体" w:eastAsia="黑体" w:hAnsi="黑体" w:hint="eastAsia"/>
                <w:sz w:val="13"/>
                <w:szCs w:val="13"/>
              </w:rPr>
              <w:t>印尼</w:t>
            </w:r>
          </w:p>
        </w:tc>
        <w:tc>
          <w:tcPr>
            <w:tcW w:w="0" w:type="auto"/>
          </w:tcPr>
          <w:p w14:paraId="2F1E0AF3" w14:textId="1AF3F646" w:rsidR="008449F8" w:rsidRPr="002A3225" w:rsidRDefault="008449F8" w:rsidP="00B97FB5">
            <w:pPr>
              <w:rPr>
                <w:rFonts w:ascii="黑体" w:eastAsia="黑体" w:hAnsi="黑体" w:hint="eastAsia"/>
                <w:sz w:val="13"/>
                <w:szCs w:val="13"/>
              </w:rPr>
            </w:pPr>
            <w:r w:rsidRPr="002A3225">
              <w:rPr>
                <w:rFonts w:ascii="黑体" w:eastAsia="黑体" w:hAnsi="黑体" w:hint="eastAsia"/>
                <w:sz w:val="13"/>
                <w:szCs w:val="13"/>
              </w:rPr>
              <w:t>越南</w:t>
            </w:r>
          </w:p>
        </w:tc>
        <w:tc>
          <w:tcPr>
            <w:tcW w:w="0" w:type="auto"/>
          </w:tcPr>
          <w:p w14:paraId="2E96D449" w14:textId="1C3B962D" w:rsidR="008449F8" w:rsidRPr="002A3225" w:rsidRDefault="008449F8" w:rsidP="00B97FB5">
            <w:pPr>
              <w:rPr>
                <w:rFonts w:ascii="黑体" w:eastAsia="黑体" w:hAnsi="黑体" w:hint="eastAsia"/>
                <w:sz w:val="13"/>
                <w:szCs w:val="13"/>
              </w:rPr>
            </w:pPr>
            <w:r w:rsidRPr="002A3225">
              <w:rPr>
                <w:rFonts w:ascii="黑体" w:eastAsia="黑体" w:hAnsi="黑体" w:hint="eastAsia"/>
                <w:sz w:val="13"/>
                <w:szCs w:val="13"/>
              </w:rPr>
              <w:t>新加坡</w:t>
            </w:r>
          </w:p>
        </w:tc>
        <w:tc>
          <w:tcPr>
            <w:tcW w:w="0" w:type="auto"/>
          </w:tcPr>
          <w:p w14:paraId="6B5ABD59" w14:textId="34FCFF69" w:rsidR="008449F8" w:rsidRPr="002A3225" w:rsidRDefault="008449F8" w:rsidP="00B97FB5">
            <w:pPr>
              <w:rPr>
                <w:rFonts w:ascii="黑体" w:eastAsia="黑体" w:hAnsi="黑体" w:hint="eastAsia"/>
                <w:sz w:val="13"/>
                <w:szCs w:val="13"/>
              </w:rPr>
            </w:pPr>
            <w:r w:rsidRPr="002A3225">
              <w:rPr>
                <w:rFonts w:ascii="黑体" w:eastAsia="黑体" w:hAnsi="黑体" w:hint="eastAsia"/>
                <w:sz w:val="13"/>
                <w:szCs w:val="13"/>
              </w:rPr>
              <w:t>马来西亚</w:t>
            </w:r>
          </w:p>
        </w:tc>
        <w:tc>
          <w:tcPr>
            <w:tcW w:w="0" w:type="auto"/>
          </w:tcPr>
          <w:p w14:paraId="131EEE74" w14:textId="68DF286C" w:rsidR="008449F8" w:rsidRPr="002A3225" w:rsidRDefault="008449F8" w:rsidP="00B97FB5">
            <w:pPr>
              <w:rPr>
                <w:rFonts w:ascii="黑体" w:eastAsia="黑体" w:hAnsi="黑体" w:hint="eastAsia"/>
                <w:sz w:val="13"/>
                <w:szCs w:val="13"/>
              </w:rPr>
            </w:pPr>
            <w:r w:rsidRPr="002A3225">
              <w:rPr>
                <w:rFonts w:ascii="黑体" w:eastAsia="黑体" w:hAnsi="黑体" w:hint="eastAsia"/>
                <w:sz w:val="13"/>
                <w:szCs w:val="13"/>
              </w:rPr>
              <w:t>菲律宾</w:t>
            </w:r>
          </w:p>
        </w:tc>
        <w:tc>
          <w:tcPr>
            <w:tcW w:w="0" w:type="auto"/>
          </w:tcPr>
          <w:p w14:paraId="24AE9A01" w14:textId="541EA9CD" w:rsidR="008449F8" w:rsidRPr="002A3225" w:rsidRDefault="008449F8" w:rsidP="00B97FB5">
            <w:pPr>
              <w:rPr>
                <w:rFonts w:ascii="黑体" w:eastAsia="黑体" w:hAnsi="黑体" w:hint="eastAsia"/>
                <w:sz w:val="13"/>
                <w:szCs w:val="13"/>
              </w:rPr>
            </w:pPr>
            <w:r w:rsidRPr="002A3225">
              <w:rPr>
                <w:rFonts w:ascii="黑体" w:eastAsia="黑体" w:hAnsi="黑体" w:hint="eastAsia"/>
                <w:sz w:val="13"/>
                <w:szCs w:val="13"/>
              </w:rPr>
              <w:t>东盟</w:t>
            </w:r>
          </w:p>
        </w:tc>
        <w:tc>
          <w:tcPr>
            <w:tcW w:w="0" w:type="auto"/>
          </w:tcPr>
          <w:p w14:paraId="5956E53D" w14:textId="3764ECE6" w:rsidR="008449F8" w:rsidRPr="002A3225" w:rsidRDefault="008449F8" w:rsidP="00B97FB5">
            <w:pPr>
              <w:rPr>
                <w:rFonts w:ascii="黑体" w:eastAsia="黑体" w:hAnsi="黑体" w:hint="eastAsia"/>
                <w:sz w:val="13"/>
                <w:szCs w:val="13"/>
              </w:rPr>
            </w:pPr>
            <w:r w:rsidRPr="002A3225">
              <w:rPr>
                <w:rFonts w:ascii="黑体" w:eastAsia="黑体" w:hAnsi="黑体" w:hint="eastAsia"/>
                <w:sz w:val="13"/>
                <w:szCs w:val="13"/>
              </w:rPr>
              <w:t>中国</w:t>
            </w:r>
          </w:p>
        </w:tc>
      </w:tr>
      <w:tr w:rsidR="008449F8" w:rsidRPr="002A3225" w14:paraId="253649E2" w14:textId="77777777" w:rsidTr="00F32263">
        <w:trPr>
          <w:jc w:val="center"/>
        </w:trPr>
        <w:tc>
          <w:tcPr>
            <w:tcW w:w="0" w:type="auto"/>
          </w:tcPr>
          <w:p w14:paraId="58626389" w14:textId="13254BE3" w:rsidR="008449F8" w:rsidRPr="002A3225" w:rsidRDefault="008449F8" w:rsidP="00B97FB5">
            <w:pPr>
              <w:rPr>
                <w:rFonts w:ascii="黑体" w:eastAsia="黑体" w:hAnsi="黑体" w:hint="eastAsia"/>
                <w:sz w:val="13"/>
                <w:szCs w:val="13"/>
              </w:rPr>
            </w:pPr>
            <w:r w:rsidRPr="002A3225">
              <w:rPr>
                <w:rFonts w:ascii="黑体" w:eastAsia="黑体" w:hAnsi="黑体" w:hint="eastAsia"/>
                <w:sz w:val="13"/>
                <w:szCs w:val="13"/>
              </w:rPr>
              <w:t>中国</w:t>
            </w:r>
          </w:p>
        </w:tc>
        <w:tc>
          <w:tcPr>
            <w:tcW w:w="0" w:type="auto"/>
          </w:tcPr>
          <w:p w14:paraId="51916C50" w14:textId="3A807D22" w:rsidR="008449F8" w:rsidRPr="002A3225" w:rsidRDefault="008449F8" w:rsidP="00B97FB5">
            <w:pPr>
              <w:rPr>
                <w:rFonts w:ascii="黑体" w:eastAsia="黑体" w:hAnsi="黑体" w:hint="eastAsia"/>
                <w:sz w:val="13"/>
                <w:szCs w:val="13"/>
              </w:rPr>
            </w:pPr>
            <w:r w:rsidRPr="002A3225">
              <w:rPr>
                <w:rFonts w:ascii="黑体" w:eastAsia="黑体" w:hAnsi="黑体" w:hint="eastAsia"/>
                <w:sz w:val="13"/>
                <w:szCs w:val="13"/>
              </w:rPr>
              <w:t>16</w:t>
            </w:r>
          </w:p>
        </w:tc>
        <w:tc>
          <w:tcPr>
            <w:tcW w:w="0" w:type="auto"/>
          </w:tcPr>
          <w:p w14:paraId="52F52855" w14:textId="623286D1" w:rsidR="008449F8" w:rsidRPr="002A3225" w:rsidRDefault="008449F8" w:rsidP="00B97FB5">
            <w:pPr>
              <w:rPr>
                <w:rFonts w:ascii="黑体" w:eastAsia="黑体" w:hAnsi="黑体" w:hint="eastAsia"/>
                <w:sz w:val="13"/>
                <w:szCs w:val="13"/>
              </w:rPr>
            </w:pPr>
            <w:r w:rsidRPr="002A3225">
              <w:rPr>
                <w:rFonts w:ascii="黑体" w:eastAsia="黑体" w:hAnsi="黑体" w:hint="eastAsia"/>
                <w:sz w:val="13"/>
                <w:szCs w:val="13"/>
              </w:rPr>
              <w:t>15</w:t>
            </w:r>
          </w:p>
        </w:tc>
        <w:tc>
          <w:tcPr>
            <w:tcW w:w="0" w:type="auto"/>
          </w:tcPr>
          <w:p w14:paraId="2219149B" w14:textId="706B5C14" w:rsidR="008449F8" w:rsidRPr="002A3225" w:rsidRDefault="008449F8" w:rsidP="00B97FB5">
            <w:pPr>
              <w:rPr>
                <w:rFonts w:ascii="黑体" w:eastAsia="黑体" w:hAnsi="黑体" w:hint="eastAsia"/>
                <w:sz w:val="13"/>
                <w:szCs w:val="13"/>
              </w:rPr>
            </w:pPr>
            <w:r w:rsidRPr="002A3225">
              <w:rPr>
                <w:rFonts w:ascii="黑体" w:eastAsia="黑体" w:hAnsi="黑体" w:hint="eastAsia"/>
                <w:sz w:val="13"/>
                <w:szCs w:val="13"/>
              </w:rPr>
              <w:t>15</w:t>
            </w:r>
          </w:p>
        </w:tc>
        <w:tc>
          <w:tcPr>
            <w:tcW w:w="0" w:type="auto"/>
          </w:tcPr>
          <w:p w14:paraId="37383BFA" w14:textId="7BDA2282" w:rsidR="008449F8" w:rsidRPr="002A3225" w:rsidRDefault="008449F8" w:rsidP="00B97FB5">
            <w:pPr>
              <w:rPr>
                <w:rFonts w:ascii="黑体" w:eastAsia="黑体" w:hAnsi="黑体" w:hint="eastAsia"/>
                <w:sz w:val="13"/>
                <w:szCs w:val="13"/>
              </w:rPr>
            </w:pPr>
            <w:r w:rsidRPr="002A3225">
              <w:rPr>
                <w:rFonts w:ascii="黑体" w:eastAsia="黑体" w:hAnsi="黑体" w:hint="eastAsia"/>
                <w:sz w:val="13"/>
                <w:szCs w:val="13"/>
              </w:rPr>
              <w:t>15</w:t>
            </w:r>
          </w:p>
        </w:tc>
        <w:tc>
          <w:tcPr>
            <w:tcW w:w="0" w:type="auto"/>
          </w:tcPr>
          <w:p w14:paraId="0361AC1B" w14:textId="3323DDC6" w:rsidR="008449F8" w:rsidRPr="002A3225" w:rsidRDefault="008449F8" w:rsidP="00B97FB5">
            <w:pPr>
              <w:rPr>
                <w:rFonts w:ascii="黑体" w:eastAsia="黑体" w:hAnsi="黑体" w:hint="eastAsia"/>
                <w:sz w:val="13"/>
                <w:szCs w:val="13"/>
              </w:rPr>
            </w:pPr>
            <w:r w:rsidRPr="002A3225">
              <w:rPr>
                <w:rFonts w:ascii="黑体" w:eastAsia="黑体" w:hAnsi="黑体" w:hint="eastAsia"/>
                <w:sz w:val="13"/>
                <w:szCs w:val="13"/>
              </w:rPr>
              <w:t>18</w:t>
            </w:r>
          </w:p>
        </w:tc>
        <w:tc>
          <w:tcPr>
            <w:tcW w:w="0" w:type="auto"/>
          </w:tcPr>
          <w:p w14:paraId="551449D2" w14:textId="01FFCF4C" w:rsidR="008449F8" w:rsidRPr="002A3225" w:rsidRDefault="008449F8" w:rsidP="00B97FB5">
            <w:pPr>
              <w:rPr>
                <w:rFonts w:ascii="黑体" w:eastAsia="黑体" w:hAnsi="黑体" w:hint="eastAsia"/>
                <w:sz w:val="13"/>
                <w:szCs w:val="13"/>
              </w:rPr>
            </w:pPr>
            <w:r w:rsidRPr="002A3225">
              <w:rPr>
                <w:rFonts w:ascii="黑体" w:eastAsia="黑体" w:hAnsi="黑体" w:hint="eastAsia"/>
                <w:sz w:val="13"/>
                <w:szCs w:val="13"/>
              </w:rPr>
              <w:t>8</w:t>
            </w:r>
          </w:p>
        </w:tc>
        <w:tc>
          <w:tcPr>
            <w:tcW w:w="0" w:type="auto"/>
          </w:tcPr>
          <w:p w14:paraId="0660D81B" w14:textId="664F9038" w:rsidR="008449F8" w:rsidRPr="002A3225" w:rsidRDefault="008449F8" w:rsidP="00B97FB5">
            <w:pPr>
              <w:rPr>
                <w:rFonts w:ascii="黑体" w:eastAsia="黑体" w:hAnsi="黑体" w:hint="eastAsia"/>
                <w:sz w:val="13"/>
                <w:szCs w:val="13"/>
              </w:rPr>
            </w:pPr>
            <w:r w:rsidRPr="002A3225">
              <w:rPr>
                <w:rFonts w:ascii="黑体" w:eastAsia="黑体" w:hAnsi="黑体" w:hint="eastAsia"/>
                <w:sz w:val="13"/>
                <w:szCs w:val="13"/>
              </w:rPr>
              <w:t>369</w:t>
            </w:r>
          </w:p>
        </w:tc>
        <w:tc>
          <w:tcPr>
            <w:tcW w:w="0" w:type="auto"/>
          </w:tcPr>
          <w:p w14:paraId="4C4F3CFA" w14:textId="155CAB7C" w:rsidR="008449F8" w:rsidRPr="002A3225" w:rsidRDefault="008449F8" w:rsidP="00B97FB5">
            <w:pPr>
              <w:rPr>
                <w:rFonts w:ascii="黑体" w:eastAsia="黑体" w:hAnsi="黑体" w:hint="eastAsia"/>
                <w:sz w:val="13"/>
                <w:szCs w:val="13"/>
              </w:rPr>
            </w:pPr>
            <w:r w:rsidRPr="002A3225">
              <w:rPr>
                <w:rFonts w:ascii="黑体" w:eastAsia="黑体" w:hAnsi="黑体" w:hint="eastAsia"/>
                <w:sz w:val="13"/>
                <w:szCs w:val="13"/>
              </w:rPr>
              <w:t>-</w:t>
            </w:r>
          </w:p>
        </w:tc>
      </w:tr>
      <w:tr w:rsidR="008449F8" w:rsidRPr="002A3225" w14:paraId="683FC275" w14:textId="77777777" w:rsidTr="00F32263">
        <w:trPr>
          <w:jc w:val="center"/>
        </w:trPr>
        <w:tc>
          <w:tcPr>
            <w:tcW w:w="0" w:type="auto"/>
          </w:tcPr>
          <w:p w14:paraId="43DF1652" w14:textId="71EE76B8" w:rsidR="008449F8" w:rsidRPr="002A3225" w:rsidRDefault="008449F8" w:rsidP="00B97FB5">
            <w:pPr>
              <w:rPr>
                <w:rFonts w:ascii="黑体" w:eastAsia="黑体" w:hAnsi="黑体" w:hint="eastAsia"/>
                <w:sz w:val="13"/>
                <w:szCs w:val="13"/>
              </w:rPr>
            </w:pPr>
            <w:r w:rsidRPr="002A3225">
              <w:rPr>
                <w:rFonts w:ascii="黑体" w:eastAsia="黑体" w:hAnsi="黑体" w:hint="eastAsia"/>
                <w:sz w:val="13"/>
                <w:szCs w:val="13"/>
              </w:rPr>
              <w:lastRenderedPageBreak/>
              <w:t>东盟</w:t>
            </w:r>
          </w:p>
        </w:tc>
        <w:tc>
          <w:tcPr>
            <w:tcW w:w="0" w:type="auto"/>
          </w:tcPr>
          <w:p w14:paraId="60682EC7" w14:textId="77851E7A" w:rsidR="008449F8" w:rsidRPr="002A3225" w:rsidRDefault="0085171A" w:rsidP="00B97FB5">
            <w:pPr>
              <w:rPr>
                <w:rFonts w:ascii="黑体" w:eastAsia="黑体" w:hAnsi="黑体" w:hint="eastAsia"/>
                <w:sz w:val="13"/>
                <w:szCs w:val="13"/>
              </w:rPr>
            </w:pPr>
            <w:r w:rsidRPr="002A3225">
              <w:rPr>
                <w:rFonts w:ascii="黑体" w:eastAsia="黑体" w:hAnsi="黑体" w:hint="eastAsia"/>
                <w:sz w:val="13"/>
                <w:szCs w:val="13"/>
              </w:rPr>
              <w:t>6</w:t>
            </w:r>
          </w:p>
        </w:tc>
        <w:tc>
          <w:tcPr>
            <w:tcW w:w="0" w:type="auto"/>
          </w:tcPr>
          <w:p w14:paraId="17D76881" w14:textId="1C094EB8" w:rsidR="008449F8" w:rsidRPr="002A3225" w:rsidRDefault="0085171A" w:rsidP="00B97FB5">
            <w:pPr>
              <w:rPr>
                <w:rFonts w:ascii="黑体" w:eastAsia="黑体" w:hAnsi="黑体" w:hint="eastAsia"/>
                <w:sz w:val="13"/>
                <w:szCs w:val="13"/>
              </w:rPr>
            </w:pPr>
            <w:r w:rsidRPr="002A3225">
              <w:rPr>
                <w:rFonts w:ascii="黑体" w:eastAsia="黑体" w:hAnsi="黑体" w:hint="eastAsia"/>
                <w:sz w:val="13"/>
                <w:szCs w:val="13"/>
              </w:rPr>
              <w:t>7</w:t>
            </w:r>
          </w:p>
        </w:tc>
        <w:tc>
          <w:tcPr>
            <w:tcW w:w="0" w:type="auto"/>
          </w:tcPr>
          <w:p w14:paraId="3DD0D908" w14:textId="5A9C1E67" w:rsidR="008449F8" w:rsidRPr="002A3225" w:rsidRDefault="00405040" w:rsidP="00B97FB5">
            <w:pPr>
              <w:rPr>
                <w:rFonts w:ascii="黑体" w:eastAsia="黑体" w:hAnsi="黑体" w:hint="eastAsia"/>
                <w:sz w:val="13"/>
                <w:szCs w:val="13"/>
              </w:rPr>
            </w:pPr>
            <w:r w:rsidRPr="002A3225">
              <w:rPr>
                <w:rFonts w:ascii="黑体" w:eastAsia="黑体" w:hAnsi="黑体" w:hint="eastAsia"/>
                <w:sz w:val="13"/>
                <w:szCs w:val="13"/>
              </w:rPr>
              <w:t>5</w:t>
            </w:r>
          </w:p>
        </w:tc>
        <w:tc>
          <w:tcPr>
            <w:tcW w:w="0" w:type="auto"/>
          </w:tcPr>
          <w:p w14:paraId="1022DC47" w14:textId="32472A03" w:rsidR="008449F8" w:rsidRPr="002A3225" w:rsidRDefault="00405040" w:rsidP="00B97FB5">
            <w:pPr>
              <w:rPr>
                <w:rFonts w:ascii="黑体" w:eastAsia="黑体" w:hAnsi="黑体" w:hint="eastAsia"/>
                <w:sz w:val="13"/>
                <w:szCs w:val="13"/>
              </w:rPr>
            </w:pPr>
            <w:r w:rsidRPr="002A3225">
              <w:rPr>
                <w:rFonts w:ascii="黑体" w:eastAsia="黑体" w:hAnsi="黑体" w:hint="eastAsia"/>
                <w:sz w:val="13"/>
                <w:szCs w:val="13"/>
              </w:rPr>
              <w:t>5</w:t>
            </w:r>
          </w:p>
        </w:tc>
        <w:tc>
          <w:tcPr>
            <w:tcW w:w="0" w:type="auto"/>
          </w:tcPr>
          <w:p w14:paraId="24695780" w14:textId="6F2391B3" w:rsidR="008449F8" w:rsidRPr="002A3225" w:rsidRDefault="00405040" w:rsidP="00B97FB5">
            <w:pPr>
              <w:rPr>
                <w:rFonts w:ascii="黑体" w:eastAsia="黑体" w:hAnsi="黑体" w:hint="eastAsia"/>
                <w:sz w:val="13"/>
                <w:szCs w:val="13"/>
              </w:rPr>
            </w:pPr>
            <w:r w:rsidRPr="002A3225">
              <w:rPr>
                <w:rFonts w:ascii="黑体" w:eastAsia="黑体" w:hAnsi="黑体" w:hint="eastAsia"/>
                <w:sz w:val="13"/>
                <w:szCs w:val="13"/>
              </w:rPr>
              <w:t>8</w:t>
            </w:r>
          </w:p>
        </w:tc>
        <w:tc>
          <w:tcPr>
            <w:tcW w:w="0" w:type="auto"/>
          </w:tcPr>
          <w:p w14:paraId="784E9CD1" w14:textId="1304C9C6" w:rsidR="008449F8" w:rsidRPr="002A3225" w:rsidRDefault="00405040" w:rsidP="00B97FB5">
            <w:pPr>
              <w:rPr>
                <w:rFonts w:ascii="黑体" w:eastAsia="黑体" w:hAnsi="黑体" w:hint="eastAsia"/>
                <w:sz w:val="13"/>
                <w:szCs w:val="13"/>
              </w:rPr>
            </w:pPr>
            <w:r w:rsidRPr="002A3225">
              <w:rPr>
                <w:rFonts w:ascii="黑体" w:eastAsia="黑体" w:hAnsi="黑体" w:hint="eastAsia"/>
                <w:sz w:val="13"/>
                <w:szCs w:val="13"/>
              </w:rPr>
              <w:t>10</w:t>
            </w:r>
          </w:p>
        </w:tc>
        <w:tc>
          <w:tcPr>
            <w:tcW w:w="0" w:type="auto"/>
          </w:tcPr>
          <w:p w14:paraId="7AE2FD87" w14:textId="3B70B592" w:rsidR="008449F8" w:rsidRPr="002A3225" w:rsidRDefault="002E5B4C" w:rsidP="00B97FB5">
            <w:pPr>
              <w:rPr>
                <w:rFonts w:ascii="黑体" w:eastAsia="黑体" w:hAnsi="黑体" w:hint="eastAsia"/>
                <w:sz w:val="13"/>
                <w:szCs w:val="13"/>
              </w:rPr>
            </w:pPr>
            <w:r w:rsidRPr="002A3225">
              <w:rPr>
                <w:rFonts w:ascii="黑体" w:eastAsia="黑体" w:hAnsi="黑体" w:hint="eastAsia"/>
                <w:sz w:val="13"/>
                <w:szCs w:val="13"/>
              </w:rPr>
              <w:t>-</w:t>
            </w:r>
          </w:p>
        </w:tc>
        <w:tc>
          <w:tcPr>
            <w:tcW w:w="0" w:type="auto"/>
          </w:tcPr>
          <w:p w14:paraId="71250AC4" w14:textId="1A5D8867" w:rsidR="008449F8" w:rsidRPr="002A3225" w:rsidRDefault="002E5B4C" w:rsidP="00B97FB5">
            <w:pPr>
              <w:rPr>
                <w:rFonts w:ascii="黑体" w:eastAsia="黑体" w:hAnsi="黑体" w:hint="eastAsia"/>
                <w:sz w:val="13"/>
                <w:szCs w:val="13"/>
              </w:rPr>
            </w:pPr>
            <w:r w:rsidRPr="002A3225">
              <w:rPr>
                <w:rFonts w:ascii="黑体" w:eastAsia="黑体" w:hAnsi="黑体" w:hint="eastAsia"/>
                <w:sz w:val="13"/>
                <w:szCs w:val="13"/>
              </w:rPr>
              <w:t>369</w:t>
            </w:r>
          </w:p>
        </w:tc>
      </w:tr>
    </w:tbl>
    <w:p w14:paraId="51FDF347" w14:textId="7165A984" w:rsidR="00F32263" w:rsidRPr="002A3225" w:rsidRDefault="00F32263" w:rsidP="00B97FB5">
      <w:pPr>
        <w:ind w:firstLine="420"/>
        <w:jc w:val="center"/>
        <w:rPr>
          <w:rFonts w:ascii="黑体" w:eastAsia="黑体" w:hAnsi="黑体" w:hint="eastAsia"/>
          <w:sz w:val="13"/>
          <w:szCs w:val="13"/>
        </w:rPr>
      </w:pPr>
      <w:r w:rsidRPr="002A3225">
        <w:rPr>
          <w:rFonts w:ascii="黑体" w:eastAsia="黑体" w:hAnsi="黑体" w:hint="eastAsia"/>
          <w:sz w:val="13"/>
          <w:szCs w:val="13"/>
        </w:rPr>
        <w:t>图1：双边在AI领域合作的项目</w:t>
      </w:r>
    </w:p>
    <w:p w14:paraId="16500870" w14:textId="1321A1CA" w:rsidR="00D746AC" w:rsidRPr="002A3225" w:rsidRDefault="00AD5E8D" w:rsidP="00B97FB5">
      <w:pPr>
        <w:ind w:firstLine="420"/>
        <w:rPr>
          <w:rFonts w:ascii="黑体" w:eastAsia="黑体" w:hAnsi="黑体" w:hint="eastAsia"/>
          <w:sz w:val="24"/>
          <w:szCs w:val="24"/>
        </w:rPr>
      </w:pPr>
      <w:r w:rsidRPr="002A3225">
        <w:rPr>
          <w:rFonts w:ascii="黑体" w:eastAsia="黑体" w:hAnsi="黑体" w:hint="eastAsia"/>
          <w:noProof/>
          <w:sz w:val="24"/>
          <w:szCs w:val="24"/>
        </w:rPr>
        <w:drawing>
          <wp:inline distT="0" distB="0" distL="0" distR="0" wp14:anchorId="0C48727E" wp14:editId="0F954FC7">
            <wp:extent cx="5274310" cy="3969385"/>
            <wp:effectExtent l="0" t="0" r="0" b="0"/>
            <wp:docPr id="19499945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994556" name="图片 1949994556"/>
                    <pic:cNvPicPr/>
                  </pic:nvPicPr>
                  <pic:blipFill>
                    <a:blip r:embed="rId8">
                      <a:extLst>
                        <a:ext uri="{28A0092B-C50C-407E-A947-70E740481C1C}">
                          <a14:useLocalDpi xmlns:a14="http://schemas.microsoft.com/office/drawing/2010/main" val="0"/>
                        </a:ext>
                      </a:extLst>
                    </a:blip>
                    <a:stretch>
                      <a:fillRect/>
                    </a:stretch>
                  </pic:blipFill>
                  <pic:spPr>
                    <a:xfrm>
                      <a:off x="0" y="0"/>
                      <a:ext cx="5274310" cy="3969385"/>
                    </a:xfrm>
                    <a:prstGeom prst="rect">
                      <a:avLst/>
                    </a:prstGeom>
                  </pic:spPr>
                </pic:pic>
              </a:graphicData>
            </a:graphic>
          </wp:inline>
        </w:drawing>
      </w:r>
    </w:p>
    <w:p w14:paraId="1A6C92EB" w14:textId="7425615C" w:rsidR="00D42052" w:rsidRPr="002A3225" w:rsidRDefault="00AD5E8D" w:rsidP="00B97FB5">
      <w:pPr>
        <w:ind w:firstLine="420"/>
        <w:jc w:val="center"/>
        <w:rPr>
          <w:rFonts w:ascii="黑体" w:eastAsia="黑体" w:hAnsi="黑体" w:hint="eastAsia"/>
          <w:sz w:val="15"/>
          <w:szCs w:val="15"/>
        </w:rPr>
      </w:pPr>
      <w:r w:rsidRPr="002A3225">
        <w:rPr>
          <w:rFonts w:ascii="黑体" w:eastAsia="黑体" w:hAnsi="黑体" w:hint="eastAsia"/>
          <w:sz w:val="15"/>
          <w:szCs w:val="15"/>
        </w:rPr>
        <w:t>图</w:t>
      </w:r>
      <w:r w:rsidR="00F32263" w:rsidRPr="002A3225">
        <w:rPr>
          <w:rFonts w:ascii="黑体" w:eastAsia="黑体" w:hAnsi="黑体" w:hint="eastAsia"/>
          <w:sz w:val="15"/>
          <w:szCs w:val="15"/>
        </w:rPr>
        <w:t>2</w:t>
      </w:r>
    </w:p>
    <w:p w14:paraId="6ED1FD48" w14:textId="13422131" w:rsidR="006C69BF" w:rsidRPr="002A3225" w:rsidRDefault="006C69BF" w:rsidP="00323BDC">
      <w:pPr>
        <w:ind w:firstLine="420"/>
        <w:rPr>
          <w:rFonts w:ascii="黑体" w:eastAsia="黑体" w:hAnsi="黑体" w:hint="eastAsia"/>
          <w:sz w:val="15"/>
          <w:szCs w:val="15"/>
        </w:rPr>
      </w:pPr>
    </w:p>
    <w:p w14:paraId="1CA01EBA" w14:textId="5FBF3A27" w:rsidR="00F32263" w:rsidRPr="00D20D2C" w:rsidRDefault="00F32263" w:rsidP="00826C94">
      <w:pPr>
        <w:spacing w:line="360" w:lineRule="auto"/>
        <w:ind w:firstLine="420"/>
        <w:rPr>
          <w:rFonts w:ascii="宋体" w:eastAsia="宋体" w:hAnsi="宋体" w:hint="eastAsia"/>
          <w:sz w:val="24"/>
          <w:szCs w:val="24"/>
        </w:rPr>
      </w:pPr>
      <w:r w:rsidRPr="00D20D2C">
        <w:rPr>
          <w:rFonts w:ascii="宋体" w:eastAsia="宋体" w:hAnsi="宋体" w:hint="eastAsia"/>
          <w:sz w:val="24"/>
          <w:szCs w:val="24"/>
        </w:rPr>
        <w:t>笔者通过对中国与东盟和东盟成员国在人工智能领域的双边合作的重大项目进行了汇总并制作表格，并根据该数据矩阵</w:t>
      </w:r>
      <w:r w:rsidR="00A8091D" w:rsidRPr="00D20D2C">
        <w:rPr>
          <w:rFonts w:ascii="宋体" w:eastAsia="宋体" w:hAnsi="宋体"/>
          <w:sz w:val="24"/>
          <w:szCs w:val="24"/>
        </w:rPr>
        <w:t>运用了</w:t>
      </w:r>
      <w:r w:rsidR="00A8091D" w:rsidRPr="00D20D2C">
        <w:rPr>
          <w:rFonts w:ascii="宋体" w:eastAsia="宋体" w:hAnsi="宋体" w:cs="Calibri"/>
          <w:sz w:val="24"/>
          <w:szCs w:val="24"/>
        </w:rPr>
        <w:t> </w:t>
      </w:r>
      <w:r w:rsidR="00A8091D" w:rsidRPr="00D20D2C">
        <w:rPr>
          <w:rFonts w:ascii="宋体" w:eastAsia="宋体" w:hAnsi="宋体"/>
          <w:sz w:val="24"/>
          <w:szCs w:val="24"/>
        </w:rPr>
        <w:t>Python 的</w:t>
      </w:r>
      <w:r w:rsidR="00A8091D" w:rsidRPr="00D20D2C">
        <w:rPr>
          <w:rFonts w:ascii="宋体" w:eastAsia="宋体" w:hAnsi="宋体" w:cs="Calibri"/>
          <w:sz w:val="24"/>
          <w:szCs w:val="24"/>
        </w:rPr>
        <w:t> </w:t>
      </w:r>
      <w:r w:rsidR="00A8091D" w:rsidRPr="00D20D2C">
        <w:rPr>
          <w:rFonts w:ascii="宋体" w:eastAsia="宋体" w:hAnsi="宋体"/>
          <w:sz w:val="24"/>
          <w:szCs w:val="24"/>
        </w:rPr>
        <w:t>NetworkX</w:t>
      </w:r>
      <w:r w:rsidR="00A8091D" w:rsidRPr="00D20D2C">
        <w:rPr>
          <w:rFonts w:ascii="宋体" w:eastAsia="宋体" w:hAnsi="宋体" w:cs="Calibri"/>
          <w:sz w:val="24"/>
          <w:szCs w:val="24"/>
        </w:rPr>
        <w:t> </w:t>
      </w:r>
      <w:r w:rsidR="00A8091D" w:rsidRPr="00D20D2C">
        <w:rPr>
          <w:rFonts w:ascii="宋体" w:eastAsia="宋体" w:hAnsi="宋体"/>
          <w:sz w:val="24"/>
          <w:szCs w:val="24"/>
        </w:rPr>
        <w:t>库</w:t>
      </w:r>
      <w:r w:rsidR="00A8091D" w:rsidRPr="00D20D2C">
        <w:rPr>
          <w:rFonts w:ascii="宋体" w:eastAsia="宋体" w:hAnsi="宋体" w:cs="Calibri"/>
          <w:sz w:val="24"/>
          <w:szCs w:val="24"/>
        </w:rPr>
        <w:t> </w:t>
      </w:r>
      <w:r w:rsidR="00A8091D" w:rsidRPr="00D20D2C">
        <w:rPr>
          <w:rFonts w:ascii="宋体" w:eastAsia="宋体" w:hAnsi="宋体"/>
          <w:sz w:val="24"/>
          <w:szCs w:val="24"/>
        </w:rPr>
        <w:t>进行网络构建与指标计算，并结合</w:t>
      </w:r>
      <w:r w:rsidR="00A8091D" w:rsidRPr="00D20D2C">
        <w:rPr>
          <w:rFonts w:ascii="宋体" w:eastAsia="宋体" w:hAnsi="宋体" w:cs="Calibri"/>
          <w:sz w:val="24"/>
          <w:szCs w:val="24"/>
        </w:rPr>
        <w:t> </w:t>
      </w:r>
      <w:r w:rsidR="00A8091D" w:rsidRPr="00D20D2C">
        <w:rPr>
          <w:rFonts w:ascii="宋体" w:eastAsia="宋体" w:hAnsi="宋体"/>
          <w:sz w:val="24"/>
          <w:szCs w:val="24"/>
        </w:rPr>
        <w:t>Matplotlib</w:t>
      </w:r>
      <w:r w:rsidR="00A8091D" w:rsidRPr="00D20D2C">
        <w:rPr>
          <w:rFonts w:ascii="宋体" w:eastAsia="宋体" w:hAnsi="宋体" w:cs="Calibri"/>
          <w:sz w:val="24"/>
          <w:szCs w:val="24"/>
        </w:rPr>
        <w:t> </w:t>
      </w:r>
      <w:r w:rsidR="00A8091D" w:rsidRPr="00D20D2C">
        <w:rPr>
          <w:rFonts w:ascii="宋体" w:eastAsia="宋体" w:hAnsi="宋体"/>
          <w:sz w:val="24"/>
          <w:szCs w:val="24"/>
        </w:rPr>
        <w:t>库</w:t>
      </w:r>
      <w:r w:rsidR="00A8091D" w:rsidRPr="00D20D2C">
        <w:rPr>
          <w:rFonts w:ascii="宋体" w:eastAsia="宋体" w:hAnsi="宋体" w:cs="Calibri"/>
          <w:sz w:val="24"/>
          <w:szCs w:val="24"/>
        </w:rPr>
        <w:t> </w:t>
      </w:r>
      <w:r w:rsidR="00A8091D" w:rsidRPr="00D20D2C">
        <w:rPr>
          <w:rFonts w:ascii="宋体" w:eastAsia="宋体" w:hAnsi="宋体"/>
          <w:sz w:val="24"/>
          <w:szCs w:val="24"/>
        </w:rPr>
        <w:t>进行可视化绘制</w:t>
      </w:r>
      <w:r w:rsidR="00A8091D" w:rsidRPr="00D20D2C">
        <w:rPr>
          <w:rFonts w:ascii="宋体" w:eastAsia="宋体" w:hAnsi="宋体" w:hint="eastAsia"/>
          <w:sz w:val="24"/>
          <w:szCs w:val="24"/>
        </w:rPr>
        <w:t>，</w:t>
      </w:r>
      <w:r w:rsidR="00A8091D" w:rsidRPr="00D20D2C">
        <w:rPr>
          <w:rFonts w:ascii="宋体" w:eastAsia="宋体" w:hAnsi="宋体"/>
          <w:sz w:val="24"/>
          <w:szCs w:val="24"/>
        </w:rPr>
        <w:t>其核心是社会网络分析方法</w:t>
      </w:r>
      <w:r w:rsidR="00A8091D" w:rsidRPr="00D20D2C">
        <w:rPr>
          <w:rFonts w:ascii="宋体" w:eastAsia="宋体" w:hAnsi="宋体" w:hint="eastAsia"/>
          <w:sz w:val="24"/>
          <w:szCs w:val="24"/>
        </w:rPr>
        <w:t>，将国家视为节点，</w:t>
      </w:r>
      <w:r w:rsidR="00A8091D" w:rsidRPr="00D20D2C">
        <w:rPr>
          <w:rFonts w:ascii="宋体" w:eastAsia="宋体" w:hAnsi="宋体"/>
          <w:sz w:val="24"/>
          <w:szCs w:val="24"/>
        </w:rPr>
        <w:t>国家间的AI合作协议数量或项目频率量化为连边的权重</w:t>
      </w:r>
      <w:r w:rsidR="00A8091D" w:rsidRPr="00D20D2C">
        <w:rPr>
          <w:rFonts w:ascii="宋体" w:eastAsia="宋体" w:hAnsi="宋体" w:hint="eastAsia"/>
          <w:sz w:val="24"/>
          <w:szCs w:val="24"/>
        </w:rPr>
        <w:t>，</w:t>
      </w:r>
      <w:r w:rsidR="00A8091D" w:rsidRPr="00D20D2C">
        <w:rPr>
          <w:rFonts w:ascii="宋体" w:eastAsia="宋体" w:hAnsi="宋体"/>
          <w:sz w:val="24"/>
          <w:szCs w:val="24"/>
        </w:rPr>
        <w:t>视觉</w:t>
      </w:r>
      <w:r w:rsidR="00A8091D" w:rsidRPr="00D20D2C">
        <w:rPr>
          <w:rFonts w:ascii="宋体" w:eastAsia="宋体" w:hAnsi="宋体" w:hint="eastAsia"/>
          <w:sz w:val="24"/>
          <w:szCs w:val="24"/>
        </w:rPr>
        <w:t>化</w:t>
      </w:r>
      <w:r w:rsidR="00A8091D" w:rsidRPr="00D20D2C">
        <w:rPr>
          <w:rFonts w:ascii="宋体" w:eastAsia="宋体" w:hAnsi="宋体"/>
          <w:sz w:val="24"/>
          <w:szCs w:val="24"/>
        </w:rPr>
        <w:t>呈现权力结构，为“第一重异化”提供了数据驱动的实证证据</w:t>
      </w:r>
      <w:r w:rsidR="00323BDC">
        <w:rPr>
          <w:rFonts w:ascii="宋体" w:eastAsia="宋体" w:hAnsi="宋体" w:hint="eastAsia"/>
          <w:sz w:val="24"/>
          <w:szCs w:val="24"/>
        </w:rPr>
        <w:t>（见图3）。</w:t>
      </w:r>
    </w:p>
    <w:p w14:paraId="1DA00E36" w14:textId="3AFA8D71" w:rsidR="009E4339" w:rsidRPr="00D20D2C" w:rsidRDefault="009E4339" w:rsidP="00826C94">
      <w:pPr>
        <w:spacing w:line="360" w:lineRule="auto"/>
        <w:ind w:firstLine="420"/>
        <w:rPr>
          <w:rFonts w:ascii="宋体" w:eastAsia="宋体" w:hAnsi="宋体" w:hint="eastAsia"/>
          <w:sz w:val="24"/>
          <w:szCs w:val="24"/>
        </w:rPr>
      </w:pPr>
      <w:r w:rsidRPr="00D20D2C">
        <w:rPr>
          <w:rFonts w:ascii="宋体" w:eastAsia="宋体" w:hAnsi="宋体"/>
          <w:sz w:val="24"/>
          <w:szCs w:val="24"/>
        </w:rPr>
        <w:t>基于可视化网络分析，本研究发现中国在东南亚人工智能合作网络中呈现出一种“结构性中心化嵌入”特征。核心数据表明</w:t>
      </w:r>
      <w:r w:rsidR="00AA371C" w:rsidRPr="00D20D2C">
        <w:rPr>
          <w:rFonts w:ascii="宋体" w:eastAsia="宋体" w:hAnsi="宋体" w:hint="eastAsia"/>
          <w:sz w:val="24"/>
          <w:szCs w:val="24"/>
        </w:rPr>
        <w:t>以下几个特征：</w:t>
      </w:r>
      <w:r w:rsidRPr="00D20D2C">
        <w:rPr>
          <w:rFonts w:ascii="宋体" w:eastAsia="宋体" w:hAnsi="宋体"/>
          <w:sz w:val="24"/>
          <w:szCs w:val="24"/>
        </w:rPr>
        <w:t>超强轴心连接：中国与东盟组织之间的合作强度构成网络中唯一的超强连接，其权重超过中国与所有东盟成员国双边合作强度的总和</w:t>
      </w:r>
      <w:r w:rsidR="00AA371C" w:rsidRPr="00D20D2C">
        <w:rPr>
          <w:rFonts w:ascii="宋体" w:eastAsia="宋体" w:hAnsi="宋体" w:hint="eastAsia"/>
          <w:sz w:val="24"/>
          <w:szCs w:val="24"/>
        </w:rPr>
        <w:t>，</w:t>
      </w:r>
      <w:r w:rsidRPr="00D20D2C">
        <w:rPr>
          <w:rFonts w:ascii="宋体" w:eastAsia="宋体" w:hAnsi="宋体"/>
          <w:sz w:val="24"/>
          <w:szCs w:val="24"/>
        </w:rPr>
        <w:t>这证实了中国将东盟这一区域性制度作为其战略对接的首要枢纽</w:t>
      </w:r>
      <w:r w:rsidR="00AA371C" w:rsidRPr="00D20D2C">
        <w:rPr>
          <w:rFonts w:ascii="宋体" w:eastAsia="宋体" w:hAnsi="宋体" w:hint="eastAsia"/>
          <w:sz w:val="24"/>
          <w:szCs w:val="24"/>
        </w:rPr>
        <w:t>；</w:t>
      </w:r>
      <w:r w:rsidRPr="00D20D2C">
        <w:rPr>
          <w:rFonts w:ascii="宋体" w:eastAsia="宋体" w:hAnsi="宋体"/>
          <w:sz w:val="24"/>
          <w:szCs w:val="24"/>
        </w:rPr>
        <w:t>双重辐射网络：网络呈现清晰的“核心-次核心-外围”三层结构。中国作为一级核心，不仅与作为制度性次核心的东盟组织有超强</w:t>
      </w:r>
      <w:r w:rsidR="00A8091D" w:rsidRPr="00D20D2C">
        <w:rPr>
          <w:rFonts w:ascii="宋体" w:eastAsia="宋体" w:hAnsi="宋体" w:hint="eastAsia"/>
          <w:sz w:val="24"/>
          <w:szCs w:val="24"/>
        </w:rPr>
        <w:t>连</w:t>
      </w:r>
      <w:r w:rsidRPr="00D20D2C">
        <w:rPr>
          <w:rFonts w:ascii="宋体" w:eastAsia="宋体" w:hAnsi="宋体"/>
          <w:sz w:val="24"/>
          <w:szCs w:val="24"/>
        </w:rPr>
        <w:t>接，</w:t>
      </w:r>
      <w:r w:rsidRPr="00D20D2C">
        <w:rPr>
          <w:rFonts w:ascii="宋体" w:eastAsia="宋体" w:hAnsi="宋体"/>
          <w:sz w:val="24"/>
          <w:szCs w:val="24"/>
        </w:rPr>
        <w:lastRenderedPageBreak/>
        <w:t>也与所有成员国（泰国、印尼等）建立了直接的强</w:t>
      </w:r>
      <w:r w:rsidR="00A8091D" w:rsidRPr="00D20D2C">
        <w:rPr>
          <w:rFonts w:ascii="宋体" w:eastAsia="宋体" w:hAnsi="宋体" w:hint="eastAsia"/>
          <w:sz w:val="24"/>
          <w:szCs w:val="24"/>
        </w:rPr>
        <w:t>连</w:t>
      </w:r>
      <w:r w:rsidRPr="00D20D2C">
        <w:rPr>
          <w:rFonts w:ascii="宋体" w:eastAsia="宋体" w:hAnsi="宋体"/>
          <w:sz w:val="24"/>
          <w:szCs w:val="24"/>
        </w:rPr>
        <w:t>接。这种结构意味着中国在战略上既尊重并强化了东盟的整体地位，也并行构建了与各成员国的务实双边通道</w:t>
      </w:r>
      <w:r w:rsidR="00AA371C" w:rsidRPr="00D20D2C">
        <w:rPr>
          <w:rFonts w:ascii="宋体" w:eastAsia="宋体" w:hAnsi="宋体" w:hint="eastAsia"/>
          <w:sz w:val="24"/>
          <w:szCs w:val="24"/>
        </w:rPr>
        <w:t>；</w:t>
      </w:r>
      <w:r w:rsidRPr="00D20D2C">
        <w:rPr>
          <w:rFonts w:ascii="宋体" w:eastAsia="宋体" w:hAnsi="宋体"/>
          <w:sz w:val="24"/>
          <w:szCs w:val="24"/>
        </w:rPr>
        <w:t>非对称的互联密度：网络整体密度较高，但东盟组织与成员国之间的连接强度普遍弱于中国与成员国之间的连接强度。这在结构上表明，在AI这一具体功能领域，中国已深度嵌入成为部分成员国更为关键的外部合作伙伴，这可能潜移默化地重塑区域内的合作方向。</w:t>
      </w:r>
    </w:p>
    <w:p w14:paraId="2EB12C57" w14:textId="53B83B9E" w:rsidR="00AA371C" w:rsidRPr="00D20D2C" w:rsidRDefault="009E4339" w:rsidP="00E86D2E">
      <w:pPr>
        <w:spacing w:line="360" w:lineRule="auto"/>
        <w:ind w:firstLineChars="200" w:firstLine="480"/>
        <w:rPr>
          <w:rFonts w:ascii="宋体" w:eastAsia="宋体" w:hAnsi="宋体" w:hint="eastAsia"/>
          <w:sz w:val="24"/>
          <w:szCs w:val="24"/>
        </w:rPr>
      </w:pPr>
      <w:r w:rsidRPr="00D20D2C">
        <w:rPr>
          <w:rFonts w:ascii="宋体" w:eastAsia="宋体" w:hAnsi="宋体"/>
          <w:sz w:val="24"/>
          <w:szCs w:val="24"/>
        </w:rPr>
        <w:t>可视化网络的结构特征，为中国所采取的“润滑型嵌入”策略提供了实证支撑</w:t>
      </w:r>
      <w:r w:rsidR="00AA371C" w:rsidRPr="00D20D2C">
        <w:rPr>
          <w:rFonts w:ascii="宋体" w:eastAsia="宋体" w:hAnsi="宋体" w:hint="eastAsia"/>
          <w:sz w:val="24"/>
          <w:szCs w:val="24"/>
        </w:rPr>
        <w:t>，通过</w:t>
      </w:r>
      <w:r w:rsidRPr="00D20D2C">
        <w:rPr>
          <w:rFonts w:ascii="宋体" w:eastAsia="宋体" w:hAnsi="宋体"/>
          <w:sz w:val="24"/>
          <w:szCs w:val="24"/>
        </w:rPr>
        <w:t>降低制度性交易成本</w:t>
      </w:r>
      <w:r w:rsidR="00AA371C" w:rsidRPr="00D20D2C">
        <w:rPr>
          <w:rFonts w:ascii="宋体" w:eastAsia="宋体" w:hAnsi="宋体" w:hint="eastAsia"/>
          <w:sz w:val="24"/>
          <w:szCs w:val="24"/>
        </w:rPr>
        <w:t>，</w:t>
      </w:r>
      <w:r w:rsidRPr="00D20D2C">
        <w:rPr>
          <w:rFonts w:ascii="宋体" w:eastAsia="宋体" w:hAnsi="宋体"/>
          <w:sz w:val="24"/>
          <w:szCs w:val="24"/>
        </w:rPr>
        <w:t>中国</w:t>
      </w:r>
      <w:r w:rsidR="00AA371C" w:rsidRPr="00D20D2C">
        <w:rPr>
          <w:rFonts w:ascii="宋体" w:eastAsia="宋体" w:hAnsi="宋体" w:hint="eastAsia"/>
          <w:sz w:val="24"/>
          <w:szCs w:val="24"/>
        </w:rPr>
        <w:t>以</w:t>
      </w:r>
      <w:r w:rsidRPr="00D20D2C">
        <w:rPr>
          <w:rFonts w:ascii="宋体" w:eastAsia="宋体" w:hAnsi="宋体"/>
          <w:sz w:val="24"/>
          <w:szCs w:val="24"/>
        </w:rPr>
        <w:t>技术援助、联合研发与基础设施投资，主动服务于东盟及其成员国的AI发展议程。这种以需求为导向的资源供给，实质上是将自身能力“嫁接”到地区既有发展轨道之上，显著降低了双方政策协调与项目落地的摩擦成本。图中密集且强韧的连接线，正是这种高效协同的结构性体现。中国通过与东盟整体的超强链接，在形式上巩固了东盟作为区域议程设定者的地位。这种对地区制度规范的公开遵从，为其与成员国的双边合作提供了合法性与政治“润滑剂”，使得其技术性嵌入得以在低政治阻力的环境下顺利进行</w:t>
      </w:r>
      <w:r w:rsidR="00AA371C" w:rsidRPr="00D20D2C">
        <w:rPr>
          <w:rFonts w:ascii="宋体" w:eastAsia="宋体" w:hAnsi="宋体" w:hint="eastAsia"/>
          <w:sz w:val="24"/>
          <w:szCs w:val="24"/>
        </w:rPr>
        <w:t>，由此强化</w:t>
      </w:r>
      <w:r w:rsidR="00AA371C" w:rsidRPr="00D20D2C">
        <w:rPr>
          <w:rFonts w:ascii="宋体" w:eastAsia="宋体" w:hAnsi="宋体"/>
          <w:sz w:val="24"/>
          <w:szCs w:val="24"/>
        </w:rPr>
        <w:t>东盟中心性的“合规表象”</w:t>
      </w:r>
      <w:r w:rsidR="00AA371C" w:rsidRPr="00D20D2C">
        <w:rPr>
          <w:rFonts w:ascii="宋体" w:eastAsia="宋体" w:hAnsi="宋体" w:hint="eastAsia"/>
          <w:sz w:val="24"/>
          <w:szCs w:val="24"/>
        </w:rPr>
        <w:t>。</w:t>
      </w:r>
    </w:p>
    <w:p w14:paraId="26D11F57" w14:textId="25BBBF93" w:rsidR="009E4339" w:rsidRPr="00D20D2C" w:rsidRDefault="009E4339" w:rsidP="00826C94">
      <w:pPr>
        <w:spacing w:line="360" w:lineRule="auto"/>
        <w:ind w:firstLine="420"/>
        <w:rPr>
          <w:rFonts w:ascii="宋体" w:eastAsia="宋体" w:hAnsi="宋体" w:hint="eastAsia"/>
          <w:sz w:val="24"/>
          <w:szCs w:val="24"/>
        </w:rPr>
      </w:pPr>
      <w:r w:rsidRPr="00D20D2C">
        <w:rPr>
          <w:rFonts w:ascii="宋体" w:eastAsia="宋体" w:hAnsi="宋体"/>
          <w:sz w:val="24"/>
          <w:szCs w:val="24"/>
        </w:rPr>
        <w:t>然而，这种高效的“润滑型嵌入”在长远上可能衍生出非预期的结构性后果，即“隐形排斥效应”</w:t>
      </w:r>
      <w:r w:rsidR="00AA371C" w:rsidRPr="00D20D2C">
        <w:rPr>
          <w:rFonts w:ascii="宋体" w:eastAsia="宋体" w:hAnsi="宋体" w:hint="eastAsia"/>
          <w:sz w:val="24"/>
          <w:szCs w:val="24"/>
        </w:rPr>
        <w:t>，</w:t>
      </w:r>
      <w:r w:rsidRPr="00D20D2C">
        <w:rPr>
          <w:rFonts w:ascii="宋体" w:eastAsia="宋体" w:hAnsi="宋体"/>
          <w:sz w:val="24"/>
          <w:szCs w:val="24"/>
        </w:rPr>
        <w:t>持续且深度的技术合作（如共同标准、兼容性基础设施、联合实验室）会在技术路径与治理习惯上形成“锁定效应”。图中中国节点的中心性不仅代表合作强度，也隐喻着其在区域AI生态中作为关键技术接口与标准参考系的角色。当区域内的技术体系、数据流通与研发网络已围绕与中国兼容的架构进行优化后，其他域外行为体（如美国、欧盟）若想提供替代性方案或开展同等深度的整合，将面临高昂的“系统切换成本”与“兼容性适配成本”。网络图中中国与各国紧密的强连接，在客观效果上相当于抬高了其他行为体建立同等强度连接的边际成本。这种结构性依赖可能削弱东盟以集体身份、从多元选项中进行自主权衡的能力。尽管东盟在形式上仍是中心，但其成员国的实际技术合作选项集可能因路径依赖而收窄，从而在实质上制约了东盟作为整体与中国或第三方进行制度性议价的战略空间。</w:t>
      </w:r>
    </w:p>
    <w:p w14:paraId="3FAC1955" w14:textId="47CF57D7" w:rsidR="009E4339" w:rsidRPr="00D20D2C" w:rsidRDefault="009E4339" w:rsidP="00826C94">
      <w:pPr>
        <w:spacing w:line="360" w:lineRule="auto"/>
        <w:ind w:firstLine="420"/>
        <w:rPr>
          <w:rFonts w:ascii="宋体" w:eastAsia="宋体" w:hAnsi="宋体" w:hint="eastAsia"/>
          <w:sz w:val="24"/>
          <w:szCs w:val="24"/>
        </w:rPr>
      </w:pPr>
      <w:r w:rsidRPr="00D20D2C">
        <w:rPr>
          <w:rFonts w:ascii="宋体" w:eastAsia="宋体" w:hAnsi="宋体"/>
          <w:sz w:val="24"/>
          <w:szCs w:val="24"/>
        </w:rPr>
        <w:t>综上所述，可视化网络分析揭示，中国在东南亚的AI合作战略成功实践了一种“通过制度内嵌实现结构性塑造”的复杂模式。其短期内取得了极高的合作</w:t>
      </w:r>
      <w:r w:rsidRPr="00D20D2C">
        <w:rPr>
          <w:rFonts w:ascii="宋体" w:eastAsia="宋体" w:hAnsi="宋体"/>
          <w:sz w:val="24"/>
          <w:szCs w:val="24"/>
        </w:rPr>
        <w:lastRenderedPageBreak/>
        <w:t>效率与政治可接受度，但长期则可能通过技术锁定与路径依赖，悄然改变区域数字生态的底层架构，从而在无形中构筑起基于“兼容性成本”的软性壁垒。这一案例深刻表明，当代大国竞争不仅体现为制度的对抗，更体现为在承认并利用现有制度框架的同时，通过技术性供给与生态化嵌入，来重塑区域治理的未来轨迹与外部连接成本</w:t>
      </w:r>
    </w:p>
    <w:p w14:paraId="35BCB007" w14:textId="52B97DA3" w:rsidR="00512F5B" w:rsidRPr="00D20D2C" w:rsidRDefault="00512F5B" w:rsidP="00826C94">
      <w:pPr>
        <w:spacing w:line="360" w:lineRule="auto"/>
        <w:ind w:firstLine="420"/>
        <w:rPr>
          <w:rFonts w:ascii="宋体" w:eastAsia="宋体" w:hAnsi="宋体" w:hint="eastAsia"/>
          <w:sz w:val="24"/>
          <w:szCs w:val="24"/>
        </w:rPr>
      </w:pPr>
      <w:r w:rsidRPr="00D20D2C">
        <w:rPr>
          <w:rFonts w:ascii="宋体" w:eastAsia="宋体" w:hAnsi="宋体" w:hint="eastAsia"/>
          <w:sz w:val="24"/>
          <w:szCs w:val="24"/>
        </w:rPr>
        <w:t>3.2、第二重异化：稀释性权威</w:t>
      </w:r>
    </w:p>
    <w:p w14:paraId="74F562B0" w14:textId="75F9D1E1" w:rsidR="004B564D" w:rsidRPr="00D20D2C" w:rsidRDefault="004B564D" w:rsidP="00826C94">
      <w:pPr>
        <w:spacing w:line="360" w:lineRule="auto"/>
        <w:ind w:firstLine="420"/>
        <w:rPr>
          <w:rFonts w:ascii="宋体" w:eastAsia="宋体" w:hAnsi="宋体" w:hint="eastAsia"/>
          <w:sz w:val="24"/>
          <w:szCs w:val="24"/>
        </w:rPr>
      </w:pPr>
      <w:r w:rsidRPr="00D20D2C">
        <w:rPr>
          <w:rFonts w:ascii="宋体" w:eastAsia="宋体" w:hAnsi="宋体"/>
          <w:sz w:val="24"/>
          <w:szCs w:val="24"/>
        </w:rPr>
        <w:t>本文认为，在AI这一战略性领域，国际制度的功能正经历深刻异化：从提供稳定预期的合作框架，异化为制造战略不确定性的竞争场域。聚焦于东盟场景，本研究揭示，中美等大国并非简单地拒绝或对抗“东盟中心”制度，而是通过深度嵌入与规则供给，引发了一场静默的“元治理”竞逐。这场竞逐导致东盟内部在AI治理的话语体系、制度平台与技术治理模式三个关键维度上产生系统性分裂，迫使东盟及其成员国陷入深层的“规则选择困境”，从而在效应上侵蚀了东盟的中心地位与战略自主性，加速了地区秩序的“制度性裂变”。本文的论述超越了传统的权力制衡叙事，为理解数字时代大国竞争与地区主义互动的复杂本质提供了新的理论视角。</w:t>
      </w:r>
    </w:p>
    <w:p w14:paraId="6BB5737B" w14:textId="7869BAA7" w:rsidR="004B564D" w:rsidRPr="00D20D2C" w:rsidRDefault="004B564D" w:rsidP="00826C94">
      <w:pPr>
        <w:spacing w:line="360" w:lineRule="auto"/>
        <w:ind w:firstLine="420"/>
        <w:rPr>
          <w:rFonts w:ascii="宋体" w:eastAsia="宋体" w:hAnsi="宋体" w:hint="eastAsia"/>
          <w:sz w:val="24"/>
          <w:szCs w:val="24"/>
        </w:rPr>
      </w:pPr>
      <w:r w:rsidRPr="00D20D2C">
        <w:rPr>
          <w:rFonts w:ascii="宋体" w:eastAsia="宋体" w:hAnsi="宋体"/>
          <w:sz w:val="24"/>
          <w:szCs w:val="24"/>
        </w:rPr>
        <w:t>传统的新自由制度主义提供了一个乐观的叙事：在无政府状态下，行为体为降低交易成本、克服集体行动困境，会创建国际制度，从而促进合作并带来稳定预期。然而，在全球人工智能治理，尤其是东盟场域中，我们观察到一个鲜明的悖论：与“制度缺失”导致失序的经典预判相反，当前面临的是一种“制度过剩”或“制度拥堵”引发的战略性紊乱。东盟周边环绕着中国提出的《全球人工智能治理倡议》、美国主导的“人工智能伙伴关系”、欧盟引领的《人工智能法案》标杆效应，以及东盟自身推出的《人工智能伦理与治理指南》。制度供给看似繁荣，但东盟地区的治理效能与战略确定性并未因此提升，反而陷入了更深的困惑。</w:t>
      </w:r>
    </w:p>
    <w:p w14:paraId="2B1C3237" w14:textId="77777777" w:rsidR="004B564D" w:rsidRPr="00D20D2C" w:rsidRDefault="004B564D" w:rsidP="00826C94">
      <w:pPr>
        <w:spacing w:line="360" w:lineRule="auto"/>
        <w:ind w:firstLineChars="200" w:firstLine="480"/>
        <w:rPr>
          <w:rFonts w:ascii="宋体" w:eastAsia="宋体" w:hAnsi="宋体" w:hint="eastAsia"/>
          <w:sz w:val="24"/>
          <w:szCs w:val="24"/>
        </w:rPr>
      </w:pPr>
      <w:r w:rsidRPr="00D20D2C">
        <w:rPr>
          <w:rFonts w:ascii="宋体" w:eastAsia="宋体" w:hAnsi="宋体"/>
          <w:sz w:val="24"/>
          <w:szCs w:val="24"/>
        </w:rPr>
        <w:t>这一悖论指向了新自由制度主义的理论盲区：它预设制度是中性的合作工具，并主要关注制度形成后的维持与效率问题，却严重忽视了制度在诞生前夜的规则制定权争夺（即“元治理”竞争），以及制度本身可能被逆向塑造为制造不确定性、进行阵营划分的战略工具的可能性。在AI这类关涉未来国家核心竞争力的“权力增值型”领域，后一种逻辑占据主导。因此，本文提出“第二重异化”概念，旨在刻画这一进程：大国通过向地区制度复合体注入竞争性的规则范式，使</w:t>
      </w:r>
      <w:r w:rsidRPr="00D20D2C">
        <w:rPr>
          <w:rFonts w:ascii="宋体" w:eastAsia="宋体" w:hAnsi="宋体"/>
          <w:sz w:val="24"/>
          <w:szCs w:val="24"/>
        </w:rPr>
        <w:lastRenderedPageBreak/>
        <w:t>地区制度从“确定性之源”异化为“不确定性之根”，其核心效应是制造并固化了地区的“规则选择困境”。</w:t>
      </w:r>
    </w:p>
    <w:p w14:paraId="0AABEE35" w14:textId="77777777" w:rsidR="004B564D" w:rsidRPr="00D20D2C" w:rsidRDefault="004B564D" w:rsidP="00826C94">
      <w:pPr>
        <w:spacing w:line="360" w:lineRule="auto"/>
        <w:ind w:firstLine="420"/>
        <w:rPr>
          <w:rFonts w:ascii="宋体" w:eastAsia="宋体" w:hAnsi="宋体" w:hint="eastAsia"/>
          <w:sz w:val="24"/>
          <w:szCs w:val="24"/>
        </w:rPr>
      </w:pPr>
      <w:r w:rsidRPr="00D20D2C">
        <w:rPr>
          <w:rFonts w:ascii="宋体" w:eastAsia="宋体" w:hAnsi="宋体"/>
          <w:sz w:val="24"/>
          <w:szCs w:val="24"/>
        </w:rPr>
        <w:t>“第二重异化”描述了国际制度功能发生的一种根本性扭曲。其发生机制在于，主导性大国将AI治理视为塑造未来国际秩序规则的“元竞争”。它们争夺的目标，不再是单一的某项协议或市场份额，而是定义AI技术发展范式、伦理边界与治理哲学的最高话语权。这种竞争直接作用于地区制度体系，具体通过以下三个相互关联的维度展开，构成了本研究的核心分析框架：</w:t>
      </w:r>
    </w:p>
    <w:p w14:paraId="413B087A" w14:textId="4120D2CD" w:rsidR="00353299" w:rsidRPr="00D20D2C" w:rsidRDefault="00B9237F" w:rsidP="00826C94">
      <w:pPr>
        <w:spacing w:line="360" w:lineRule="auto"/>
        <w:ind w:left="360" w:firstLine="60"/>
        <w:rPr>
          <w:rFonts w:ascii="宋体" w:eastAsia="宋体" w:hAnsi="宋体" w:hint="eastAsia"/>
          <w:sz w:val="24"/>
          <w:szCs w:val="24"/>
        </w:rPr>
      </w:pPr>
      <w:r w:rsidRPr="00D20D2C">
        <w:rPr>
          <w:rFonts w:ascii="宋体" w:eastAsia="宋体" w:hAnsi="宋体" w:hint="eastAsia"/>
          <w:sz w:val="24"/>
          <w:szCs w:val="24"/>
        </w:rPr>
        <w:t>（1）</w:t>
      </w:r>
      <w:r w:rsidR="004B564D" w:rsidRPr="00D20D2C">
        <w:rPr>
          <w:rFonts w:ascii="宋体" w:eastAsia="宋体" w:hAnsi="宋体"/>
          <w:sz w:val="24"/>
          <w:szCs w:val="24"/>
        </w:rPr>
        <w:t>话语体系的分裂：规范供给与认知框定</w:t>
      </w:r>
    </w:p>
    <w:p w14:paraId="00DE1B09" w14:textId="3514ED33" w:rsidR="004B564D" w:rsidRPr="00D20D2C" w:rsidRDefault="004B564D" w:rsidP="00826C94">
      <w:pPr>
        <w:spacing w:line="360" w:lineRule="auto"/>
        <w:ind w:firstLine="420"/>
        <w:rPr>
          <w:rFonts w:ascii="宋体" w:eastAsia="宋体" w:hAnsi="宋体" w:hint="eastAsia"/>
          <w:sz w:val="24"/>
          <w:szCs w:val="24"/>
        </w:rPr>
      </w:pPr>
      <w:r w:rsidRPr="00D20D2C">
        <w:rPr>
          <w:rFonts w:ascii="宋体" w:eastAsia="宋体" w:hAnsi="宋体"/>
          <w:sz w:val="24"/>
          <w:szCs w:val="24"/>
        </w:rPr>
        <w:t>大国竞相提供一套完整的、内含价值排序的AI治理话语包。中国的核心叙事围绕“数字主权”、“人类命运共同体”，强调治理的原则是维护国家主导权与技术发展的空间。美国的叙事则突出</w:t>
      </w:r>
      <w:r w:rsidR="002A533B" w:rsidRPr="00D20D2C">
        <w:rPr>
          <w:rFonts w:ascii="宋体" w:eastAsia="宋体" w:hAnsi="宋体" w:hint="eastAsia"/>
          <w:sz w:val="24"/>
          <w:szCs w:val="24"/>
        </w:rPr>
        <w:t>安全优先叙事</w:t>
      </w:r>
      <w:r w:rsidR="002A533B" w:rsidRPr="00D20D2C">
        <w:rPr>
          <w:rFonts w:ascii="宋体" w:eastAsia="宋体" w:hAnsi="宋体" w:hint="eastAsia"/>
          <w:sz w:val="24"/>
          <w:szCs w:val="24"/>
          <w:vertAlign w:val="superscript"/>
        </w:rPr>
        <w:t>⑥</w:t>
      </w:r>
      <w:r w:rsidRPr="00D20D2C">
        <w:rPr>
          <w:rFonts w:ascii="宋体" w:eastAsia="宋体" w:hAnsi="宋体"/>
          <w:sz w:val="24"/>
          <w:szCs w:val="24"/>
        </w:rPr>
        <w:t>，将民主价值观、个人权利和对全球互联网开放的承诺置于中心。这两种话语体系在“主权与人权”、“发展与风险”、“开放与安全”等二元概念上构成了竞争性解读。对于东盟成员国而言，这并非简单的选择题，而是认知框架的植入过程。不同的精英阶层、官僚部门和产业界会内化并倾向于某一种话语，导致国内政策辩论的国际化与阵营化，从根本上削弱了东盟形成统一规范性立场的社会认知基础。</w:t>
      </w:r>
    </w:p>
    <w:p w14:paraId="6B5944E7" w14:textId="7F9B2162" w:rsidR="002A533B" w:rsidRPr="00D20D2C" w:rsidRDefault="00B9237F" w:rsidP="00826C94">
      <w:pPr>
        <w:spacing w:line="360" w:lineRule="auto"/>
        <w:ind w:left="420"/>
        <w:rPr>
          <w:rFonts w:ascii="宋体" w:eastAsia="宋体" w:hAnsi="宋体" w:hint="eastAsia"/>
          <w:sz w:val="24"/>
          <w:szCs w:val="24"/>
        </w:rPr>
      </w:pPr>
      <w:r w:rsidRPr="00D20D2C">
        <w:rPr>
          <w:rFonts w:ascii="宋体" w:eastAsia="宋体" w:hAnsi="宋体" w:hint="eastAsia"/>
          <w:sz w:val="24"/>
          <w:szCs w:val="24"/>
        </w:rPr>
        <w:t>（2）</w:t>
      </w:r>
      <w:r w:rsidR="004B564D" w:rsidRPr="00D20D2C">
        <w:rPr>
          <w:rFonts w:ascii="宋体" w:eastAsia="宋体" w:hAnsi="宋体"/>
          <w:sz w:val="24"/>
          <w:szCs w:val="24"/>
        </w:rPr>
        <w:t>制度平台的竞争与俘获</w:t>
      </w:r>
      <w:r w:rsidR="002A533B" w:rsidRPr="00D20D2C">
        <w:rPr>
          <w:rFonts w:ascii="宋体" w:eastAsia="宋体" w:hAnsi="宋体" w:hint="eastAsia"/>
          <w:sz w:val="24"/>
          <w:szCs w:val="24"/>
        </w:rPr>
        <w:t>，</w:t>
      </w:r>
      <w:r w:rsidR="004B564D" w:rsidRPr="00D20D2C">
        <w:rPr>
          <w:rFonts w:ascii="宋体" w:eastAsia="宋体" w:hAnsi="宋体"/>
          <w:sz w:val="24"/>
          <w:szCs w:val="24"/>
        </w:rPr>
        <w:t>路径塑造与议程设置</w:t>
      </w:r>
      <w:r w:rsidR="002A533B" w:rsidRPr="00D20D2C">
        <w:rPr>
          <w:rFonts w:ascii="宋体" w:eastAsia="宋体" w:hAnsi="宋体" w:hint="eastAsia"/>
          <w:sz w:val="24"/>
          <w:szCs w:val="24"/>
        </w:rPr>
        <w:t>：</w:t>
      </w:r>
    </w:p>
    <w:p w14:paraId="214E12D2" w14:textId="70DB54FB" w:rsidR="002A533B" w:rsidRPr="00D20D2C" w:rsidRDefault="004B564D" w:rsidP="00826C94">
      <w:pPr>
        <w:spacing w:line="360" w:lineRule="auto"/>
        <w:ind w:firstLine="420"/>
        <w:rPr>
          <w:rFonts w:ascii="宋体" w:eastAsia="宋体" w:hAnsi="宋体" w:hint="eastAsia"/>
          <w:sz w:val="24"/>
          <w:szCs w:val="24"/>
        </w:rPr>
      </w:pPr>
      <w:r w:rsidRPr="00D20D2C">
        <w:rPr>
          <w:rFonts w:ascii="宋体" w:eastAsia="宋体" w:hAnsi="宋体"/>
          <w:sz w:val="24"/>
          <w:szCs w:val="24"/>
        </w:rPr>
        <w:t>竞争不仅停留在话语层面，更实质性地体现在对具体制度平台的争夺上。中美都在积极将东盟既有的多边平台（如东盟峰会、东盟数字经济框架协定谈判）或推动创建新的对话机制（如中国-东盟人工智能对话、美国-东盟智慧城市伙伴关系），转化为推广自身规则范式的渠道。这是一种“制度俘获”或“制度赋权”战略。其关键在于，通过技术援助、能力建设项目和联合研究，将自身的技术标准、数据本地化要求或伦理评估流程，悄然嵌入到东盟地区合作的项目设计与执行中。例如，采纳中国智慧城市解决方案的成员国，其数据治理架构会自然倾向于中方标准；参与美国“下一代人工智能研发联盟”的科研机构，其研究伦理审查则会遵循美式框架。这使得东盟统一的数字市场建设，在操作层面被分割为遵循不同技术规则的“群岛”。</w:t>
      </w:r>
    </w:p>
    <w:p w14:paraId="75E932FB" w14:textId="30C0F10A" w:rsidR="002A533B" w:rsidRPr="00D20D2C" w:rsidRDefault="00B9237F" w:rsidP="00826C94">
      <w:pPr>
        <w:spacing w:line="360" w:lineRule="auto"/>
        <w:ind w:firstLine="420"/>
        <w:rPr>
          <w:rFonts w:ascii="宋体" w:eastAsia="宋体" w:hAnsi="宋体" w:hint="eastAsia"/>
          <w:sz w:val="24"/>
          <w:szCs w:val="24"/>
        </w:rPr>
      </w:pPr>
      <w:r w:rsidRPr="00D20D2C">
        <w:rPr>
          <w:rFonts w:ascii="宋体" w:eastAsia="宋体" w:hAnsi="宋体" w:hint="eastAsia"/>
          <w:sz w:val="24"/>
          <w:szCs w:val="24"/>
        </w:rPr>
        <w:t>（3）</w:t>
      </w:r>
      <w:r w:rsidR="004B564D" w:rsidRPr="00D20D2C">
        <w:rPr>
          <w:rFonts w:ascii="宋体" w:eastAsia="宋体" w:hAnsi="宋体"/>
          <w:sz w:val="24"/>
          <w:szCs w:val="24"/>
        </w:rPr>
        <w:t>技术治理模式的并行与排他：生态锁定与联盟构建</w:t>
      </w:r>
    </w:p>
    <w:p w14:paraId="4F924043" w14:textId="4B34B6AA" w:rsidR="004B564D" w:rsidRPr="00D20D2C" w:rsidRDefault="004B564D" w:rsidP="00826C94">
      <w:pPr>
        <w:spacing w:line="360" w:lineRule="auto"/>
        <w:ind w:firstLine="420"/>
        <w:rPr>
          <w:rFonts w:ascii="宋体" w:eastAsia="宋体" w:hAnsi="宋体" w:hint="eastAsia"/>
          <w:sz w:val="24"/>
          <w:szCs w:val="24"/>
        </w:rPr>
      </w:pPr>
      <w:r w:rsidRPr="00D20D2C">
        <w:rPr>
          <w:rFonts w:ascii="宋体" w:eastAsia="宋体" w:hAnsi="宋体"/>
          <w:sz w:val="24"/>
          <w:szCs w:val="24"/>
        </w:rPr>
        <w:t>最深层次的异化体现为并行且互斥的“技术—治理”综合生态的构建。中国</w:t>
      </w:r>
      <w:r w:rsidRPr="00D20D2C">
        <w:rPr>
          <w:rFonts w:ascii="宋体" w:eastAsia="宋体" w:hAnsi="宋体"/>
          <w:sz w:val="24"/>
          <w:szCs w:val="24"/>
        </w:rPr>
        <w:lastRenderedPageBreak/>
        <w:t>推动的“数字丝绸之路”提供的是“基础设施—应用—本土化治理”的一揽子方案，其治理逻辑深深嵌套在技术交付之中。美国倡导的“可信数字生态系统”则强调从底层芯片、开源软件到云服务的“可信”供应链，其治理逻辑与盟友间的价值观和安全审查相绑定。这两种模式在技术栈、数据流和信任机制上存在内在排他性。对东盟国家而言，选择其中一种模式，不仅意味着采购特定厂商的设备，更意味着在技术路线、数据主权观念和安全伙伴关系上做出长远承诺，转换成本极高。这实质上是将经济和技术合作“地缘政治化”，迫使东盟国家进行非此即彼的“生态站队”，从而在东盟内部划出了隐形的技术断层线。</w:t>
      </w:r>
    </w:p>
    <w:p w14:paraId="03518427" w14:textId="677F768E" w:rsidR="004B564D" w:rsidRPr="00D20D2C" w:rsidRDefault="004B564D" w:rsidP="00826C94">
      <w:pPr>
        <w:spacing w:line="360" w:lineRule="auto"/>
        <w:ind w:firstLine="420"/>
        <w:rPr>
          <w:rFonts w:ascii="宋体" w:eastAsia="宋体" w:hAnsi="宋体" w:hint="eastAsia"/>
          <w:sz w:val="24"/>
          <w:szCs w:val="24"/>
        </w:rPr>
      </w:pPr>
      <w:r w:rsidRPr="00D20D2C">
        <w:rPr>
          <w:rFonts w:ascii="宋体" w:eastAsia="宋体" w:hAnsi="宋体"/>
          <w:sz w:val="24"/>
          <w:szCs w:val="24"/>
        </w:rPr>
        <w:t>在上述三重维度的大国规则竞逐下，东盟作为一个整体及其成员国，</w:t>
      </w:r>
      <w:r w:rsidR="00D54087" w:rsidRPr="00D20D2C">
        <w:rPr>
          <w:rFonts w:ascii="宋体" w:eastAsia="宋体" w:hAnsi="宋体" w:hint="eastAsia"/>
          <w:sz w:val="24"/>
          <w:szCs w:val="24"/>
        </w:rPr>
        <w:t>则会</w:t>
      </w:r>
      <w:r w:rsidRPr="00D20D2C">
        <w:rPr>
          <w:rFonts w:ascii="宋体" w:eastAsia="宋体" w:hAnsi="宋体"/>
          <w:sz w:val="24"/>
          <w:szCs w:val="24"/>
        </w:rPr>
        <w:t>陷入“规则选择困境”</w:t>
      </w:r>
      <w:r w:rsidR="00D54087" w:rsidRPr="00D20D2C">
        <w:rPr>
          <w:rFonts w:ascii="宋体" w:eastAsia="宋体" w:hAnsi="宋体" w:hint="eastAsia"/>
          <w:sz w:val="24"/>
          <w:szCs w:val="24"/>
        </w:rPr>
        <w:t>，</w:t>
      </w:r>
      <w:r w:rsidRPr="00D20D2C">
        <w:rPr>
          <w:rFonts w:ascii="宋体" w:eastAsia="宋体" w:hAnsi="宋体"/>
          <w:sz w:val="24"/>
          <w:szCs w:val="24"/>
        </w:rPr>
        <w:t>主权让渡与利益获取的权衡困境：美国的规则范式常要求数据跨境自由流动和平台问责，可能触及东盟国家敏感的数据主权和网络空间管辖权。中国的范式强调尊重主权，但其大规模数字基础设施嵌入也可能引发</w:t>
      </w:r>
      <w:r w:rsidR="00410711" w:rsidRPr="00D20D2C">
        <w:rPr>
          <w:rFonts w:ascii="宋体" w:eastAsia="宋体" w:hAnsi="宋体" w:hint="eastAsia"/>
          <w:sz w:val="24"/>
          <w:szCs w:val="24"/>
        </w:rPr>
        <w:t>东盟内部</w:t>
      </w:r>
      <w:r w:rsidRPr="00D20D2C">
        <w:rPr>
          <w:rFonts w:ascii="宋体" w:eastAsia="宋体" w:hAnsi="宋体"/>
          <w:sz w:val="24"/>
          <w:szCs w:val="24"/>
        </w:rPr>
        <w:t>经济依赖与安全关切。成员国必须在“让渡部分数据治理权以接入先进技术与全球市场”与“坚守数字主权以保障国家安全与政策自主”之间进行艰难权衡。例如，越南在激烈争论后出台的《网络安全法》</w:t>
      </w:r>
      <w:r w:rsidR="00410711" w:rsidRPr="00D20D2C">
        <w:rPr>
          <w:rFonts w:ascii="宋体" w:eastAsia="宋体" w:hAnsi="宋体" w:hint="eastAsia"/>
          <w:sz w:val="24"/>
          <w:szCs w:val="24"/>
          <w:vertAlign w:val="superscript"/>
        </w:rPr>
        <w:t>⑦</w:t>
      </w:r>
      <w:r w:rsidRPr="00D20D2C">
        <w:rPr>
          <w:rFonts w:ascii="宋体" w:eastAsia="宋体" w:hAnsi="宋体"/>
          <w:sz w:val="24"/>
          <w:szCs w:val="24"/>
        </w:rPr>
        <w:t>和《个人信息保护法》</w:t>
      </w:r>
      <w:r w:rsidR="00410711" w:rsidRPr="00D20D2C">
        <w:rPr>
          <w:rFonts w:ascii="宋体" w:eastAsia="宋体" w:hAnsi="宋体" w:hint="eastAsia"/>
          <w:sz w:val="24"/>
          <w:szCs w:val="24"/>
          <w:vertAlign w:val="superscript"/>
        </w:rPr>
        <w:t>⑧</w:t>
      </w:r>
      <w:r w:rsidRPr="00D20D2C">
        <w:rPr>
          <w:rFonts w:ascii="宋体" w:eastAsia="宋体" w:hAnsi="宋体"/>
          <w:sz w:val="24"/>
          <w:szCs w:val="24"/>
        </w:rPr>
        <w:t>，就体现了在开放与主权之间寻找平衡的挣扎。发展优先与风险预防的排序困境：中国模式倾向于“发展中治理”，鼓励技术快速应用与迭代，在过程中解决问题。欧美模式则更侧重“预防性治理”，强调预先设定严格的伦理红线和风险评估。对于亟需利用AI推动经济增长的东盟发展中国家（如印尼、泰国）而言，它们面临</w:t>
      </w:r>
      <w:r w:rsidRPr="00D20D2C">
        <w:rPr>
          <w:rFonts w:ascii="宋体" w:eastAsia="宋体" w:hAnsi="宋体" w:cs="黑体" w:hint="eastAsia"/>
          <w:sz w:val="24"/>
          <w:szCs w:val="24"/>
        </w:rPr>
        <w:t>“</w:t>
      </w:r>
      <w:r w:rsidRPr="00D20D2C">
        <w:rPr>
          <w:rFonts w:ascii="宋体" w:eastAsia="宋体" w:hAnsi="宋体"/>
          <w:sz w:val="24"/>
          <w:szCs w:val="24"/>
        </w:rPr>
        <w:t>抓住发展机遇，容忍一定未知风险”还是</w:t>
      </w:r>
      <w:r w:rsidRPr="00D20D2C">
        <w:rPr>
          <w:rFonts w:ascii="宋体" w:eastAsia="宋体" w:hAnsi="宋体" w:cs="黑体" w:hint="eastAsia"/>
          <w:sz w:val="24"/>
          <w:szCs w:val="24"/>
        </w:rPr>
        <w:t>“</w:t>
      </w:r>
      <w:r w:rsidRPr="00D20D2C">
        <w:rPr>
          <w:rFonts w:ascii="宋体" w:eastAsia="宋体" w:hAnsi="宋体"/>
          <w:sz w:val="24"/>
          <w:szCs w:val="24"/>
        </w:rPr>
        <w:t>放缓步伐，优先建立周全的防护网”的根本性政策排序困境。这种排序分歧直接导致东盟难以形成统一的AI创新监管节奏。</w:t>
      </w:r>
    </w:p>
    <w:p w14:paraId="76E1AFA6" w14:textId="6874FA6F" w:rsidR="004B564D" w:rsidRPr="00D20D2C" w:rsidRDefault="004B564D" w:rsidP="00826C94">
      <w:pPr>
        <w:spacing w:line="360" w:lineRule="auto"/>
        <w:ind w:firstLineChars="200" w:firstLine="480"/>
        <w:rPr>
          <w:rFonts w:ascii="宋体" w:eastAsia="宋体" w:hAnsi="宋体" w:hint="eastAsia"/>
          <w:sz w:val="24"/>
          <w:szCs w:val="24"/>
        </w:rPr>
      </w:pPr>
      <w:r w:rsidRPr="00D20D2C">
        <w:rPr>
          <w:rFonts w:ascii="宋体" w:eastAsia="宋体" w:hAnsi="宋体"/>
          <w:sz w:val="24"/>
          <w:szCs w:val="24"/>
        </w:rPr>
        <w:t>技术联盟与战略自主的路径困境：加入美国主导的技术联盟（如围绕芯片、AI模型的“小院高墙”联盟）可能获得尖端技术准入，但意味着在战略上被纳入对华科技遏制的框架，牺牲外交自主性。深化与中国的技术合作虽能获得即时、适用的解决方案并避免选边压力，但可能招致来自美国的战略猜忌与压力。新加坡的“</w:t>
      </w:r>
      <w:r w:rsidR="00833200" w:rsidRPr="00D20D2C">
        <w:rPr>
          <w:rFonts w:ascii="宋体" w:eastAsia="宋体" w:hAnsi="宋体" w:hint="eastAsia"/>
          <w:sz w:val="24"/>
          <w:szCs w:val="24"/>
        </w:rPr>
        <w:t>平衡外交</w:t>
      </w:r>
      <w:r w:rsidRPr="00D20D2C">
        <w:rPr>
          <w:rFonts w:ascii="宋体" w:eastAsia="宋体" w:hAnsi="宋体"/>
          <w:sz w:val="24"/>
          <w:szCs w:val="24"/>
        </w:rPr>
        <w:t>”策略</w:t>
      </w:r>
      <w:r w:rsidR="00833200" w:rsidRPr="00D20D2C">
        <w:rPr>
          <w:rFonts w:ascii="宋体" w:eastAsia="宋体" w:hAnsi="宋体" w:hint="eastAsia"/>
          <w:sz w:val="24"/>
          <w:szCs w:val="24"/>
          <w:vertAlign w:val="superscript"/>
        </w:rPr>
        <w:t>⑨</w:t>
      </w:r>
      <w:r w:rsidRPr="00D20D2C">
        <w:rPr>
          <w:rFonts w:ascii="宋体" w:eastAsia="宋体" w:hAnsi="宋体"/>
          <w:sz w:val="24"/>
          <w:szCs w:val="24"/>
        </w:rPr>
        <w:t>——同时与中美保持深度技术合作——展现了其高超的平衡艺术，但也反衬出大多数东盟国家面临非此即彼压力的普遍困境。规范领导与内部共识的凝聚力困境：“东盟中心地位”的核心在于其能作为规范的倡导者</w:t>
      </w:r>
      <w:r w:rsidRPr="00D20D2C">
        <w:rPr>
          <w:rFonts w:ascii="宋体" w:eastAsia="宋体" w:hAnsi="宋体"/>
          <w:sz w:val="24"/>
          <w:szCs w:val="24"/>
        </w:rPr>
        <w:lastRenderedPageBreak/>
        <w:t>和共识的凝聚者。然而，当成员国被上述</w:t>
      </w:r>
      <w:r w:rsidR="00802BA4" w:rsidRPr="00D20D2C">
        <w:rPr>
          <w:rFonts w:ascii="宋体" w:eastAsia="宋体" w:hAnsi="宋体" w:hint="eastAsia"/>
          <w:sz w:val="24"/>
          <w:szCs w:val="24"/>
        </w:rPr>
        <w:t>四</w:t>
      </w:r>
      <w:r w:rsidRPr="00D20D2C">
        <w:rPr>
          <w:rFonts w:ascii="宋体" w:eastAsia="宋体" w:hAnsi="宋体"/>
          <w:sz w:val="24"/>
          <w:szCs w:val="24"/>
        </w:rPr>
        <w:t>大困境分割，内部对于“什么是负责任的AI”、“什么是公平的数据经济”等基本问题都无法达成共识时，东盟就丧失了作为集体规则制定者的能力。其对外谈判立场只能不断妥协、稀释，沦为最低共同分母，或陷入僵局。在联合国教科文组织《人工智能伦理建议书》等全球谈判中，东盟难以发出</w:t>
      </w:r>
      <w:r w:rsidR="00557A6B" w:rsidRPr="00D20D2C">
        <w:rPr>
          <w:rFonts w:ascii="宋体" w:eastAsia="宋体" w:hAnsi="宋体" w:hint="eastAsia"/>
          <w:sz w:val="24"/>
          <w:szCs w:val="24"/>
        </w:rPr>
        <w:t>强劲</w:t>
      </w:r>
      <w:r w:rsidRPr="00D20D2C">
        <w:rPr>
          <w:rFonts w:ascii="宋体" w:eastAsia="宋体" w:hAnsi="宋体"/>
          <w:sz w:val="24"/>
          <w:szCs w:val="24"/>
        </w:rPr>
        <w:t>统一有力的声音，</w:t>
      </w:r>
      <w:r w:rsidR="00557A6B" w:rsidRPr="00D20D2C">
        <w:rPr>
          <w:rFonts w:ascii="宋体" w:eastAsia="宋体" w:hAnsi="宋体" w:hint="eastAsia"/>
          <w:sz w:val="24"/>
          <w:szCs w:val="24"/>
        </w:rPr>
        <w:t>拖慢了东盟数字经济一体化的进程，也可能在未来导致区域内部形成新的数字壁垒，</w:t>
      </w:r>
      <w:r w:rsidR="00557A6B" w:rsidRPr="00D20D2C">
        <w:rPr>
          <w:rFonts w:ascii="宋体" w:eastAsia="宋体" w:hAnsi="宋体" w:hint="eastAsia"/>
          <w:sz w:val="24"/>
          <w:szCs w:val="24"/>
          <w:vertAlign w:val="superscript"/>
        </w:rPr>
        <w:t>⑩</w:t>
      </w:r>
      <w:r w:rsidRPr="00D20D2C">
        <w:rPr>
          <w:rFonts w:ascii="宋体" w:eastAsia="宋体" w:hAnsi="宋体"/>
          <w:sz w:val="24"/>
          <w:szCs w:val="24"/>
        </w:rPr>
        <w:t>正是其内部规则分裂、凝聚力下降的体现。</w:t>
      </w:r>
    </w:p>
    <w:p w14:paraId="5A60C9C0" w14:textId="77777777" w:rsidR="00D54087" w:rsidRPr="002A3225" w:rsidRDefault="00D54087" w:rsidP="00D54087">
      <w:pPr>
        <w:rPr>
          <w:rFonts w:ascii="黑体" w:eastAsia="黑体" w:hAnsi="黑体" w:hint="eastAsia"/>
          <w:sz w:val="24"/>
          <w:szCs w:val="24"/>
        </w:rPr>
      </w:pPr>
    </w:p>
    <w:p w14:paraId="44E5423B" w14:textId="1531FDFA" w:rsidR="00B9237F" w:rsidRPr="002A3225" w:rsidRDefault="004B564D" w:rsidP="00B97FB5">
      <w:pPr>
        <w:rPr>
          <w:rFonts w:ascii="黑体" w:eastAsia="黑体" w:hAnsi="黑体" w:hint="eastAsia"/>
          <w:sz w:val="24"/>
          <w:szCs w:val="24"/>
        </w:rPr>
      </w:pPr>
      <w:r w:rsidRPr="002A3225">
        <w:rPr>
          <w:rFonts w:ascii="黑体" w:eastAsia="黑体" w:hAnsi="黑体"/>
          <w:sz w:val="36"/>
          <w:szCs w:val="36"/>
        </w:rPr>
        <w:t>四、理论意义：</w:t>
      </w:r>
      <w:r w:rsidR="00D54087" w:rsidRPr="002A3225">
        <w:rPr>
          <w:rFonts w:ascii="黑体" w:eastAsia="黑体" w:hAnsi="黑体"/>
          <w:sz w:val="36"/>
          <w:szCs w:val="36"/>
        </w:rPr>
        <w:t>数字时代地区治理的新逻辑</w:t>
      </w:r>
    </w:p>
    <w:p w14:paraId="75A360BF" w14:textId="2EF88977" w:rsidR="00E803FD" w:rsidRPr="00D20D2C" w:rsidRDefault="004B564D" w:rsidP="00826C94">
      <w:pPr>
        <w:spacing w:line="360" w:lineRule="auto"/>
        <w:ind w:firstLineChars="200" w:firstLine="480"/>
        <w:rPr>
          <w:rFonts w:ascii="宋体" w:eastAsia="宋体" w:hAnsi="宋体" w:hint="eastAsia"/>
          <w:sz w:val="36"/>
          <w:szCs w:val="36"/>
        </w:rPr>
      </w:pPr>
      <w:r w:rsidRPr="00D20D2C">
        <w:rPr>
          <w:rFonts w:ascii="宋体" w:eastAsia="宋体" w:hAnsi="宋体"/>
          <w:sz w:val="24"/>
          <w:szCs w:val="24"/>
        </w:rPr>
        <w:t>研究揭示了在高端战略竞争领域，国际制度可能不再是缓解无政府状态的工具，而成为大国竞争“合法化”与“精细化”的载体。制度复合体的碎片化并非功能障碍，而是竞争逻辑内嵌于制度设计的必然结果。“制度权力”概念凸显</w:t>
      </w:r>
      <w:r w:rsidR="00B9237F" w:rsidRPr="00D20D2C">
        <w:rPr>
          <w:rFonts w:ascii="宋体" w:eastAsia="宋体" w:hAnsi="宋体" w:hint="eastAsia"/>
          <w:sz w:val="24"/>
          <w:szCs w:val="24"/>
        </w:rPr>
        <w:t>，</w:t>
      </w:r>
      <w:r w:rsidRPr="00D20D2C">
        <w:rPr>
          <w:rFonts w:ascii="宋体" w:eastAsia="宋体" w:hAnsi="宋体"/>
          <w:sz w:val="24"/>
          <w:szCs w:val="24"/>
        </w:rPr>
        <w:t>竞争的重点从传统的“制度内权力”（投票权、份额）前移至“制度性权力”，即创设制度、设定议程、定义规范、提供替代方案的能力。中美在东盟的竞逐，本质是“制度性权力”的较量</w:t>
      </w:r>
      <w:r w:rsidR="00B9237F" w:rsidRPr="00D20D2C">
        <w:rPr>
          <w:rFonts w:ascii="宋体" w:eastAsia="宋体" w:hAnsi="宋体" w:hint="eastAsia"/>
          <w:sz w:val="24"/>
          <w:szCs w:val="24"/>
        </w:rPr>
        <w:t>。</w:t>
      </w:r>
      <w:r w:rsidRPr="00D20D2C">
        <w:rPr>
          <w:rFonts w:ascii="宋体" w:eastAsia="宋体" w:hAnsi="宋体"/>
          <w:sz w:val="24"/>
          <w:szCs w:val="24"/>
        </w:rPr>
        <w:t>“协商一致”和“不干涉内政”原则曾被认为是东盟的韧性来源。但在大国系统性的话语与规则渗透下，这种低效、非约束性的“软制度主义”可能演变为被大国利用的弱点，使得异化过程更难以被察觉和集体抵制。东盟场景预示了未来全球AI治理乃至更广泛数字秩序的可能图景：一个统一的全球治理制度难以出现，取而代之的是由不同大国主导的、部分重叠、部分冲突的“制度群”或“秩序圈”并存的格局。世界将进入一个“竞争性多边主义”时代。</w:t>
      </w:r>
    </w:p>
    <w:p w14:paraId="659FA144" w14:textId="167DBEFA" w:rsidR="00C94192" w:rsidRPr="00D20D2C" w:rsidRDefault="00C94192" w:rsidP="00826C94">
      <w:pPr>
        <w:spacing w:line="360" w:lineRule="auto"/>
        <w:ind w:firstLine="420"/>
        <w:rPr>
          <w:rFonts w:ascii="宋体" w:eastAsia="宋体" w:hAnsi="宋体" w:hint="eastAsia"/>
          <w:sz w:val="24"/>
          <w:szCs w:val="24"/>
        </w:rPr>
      </w:pPr>
      <w:r w:rsidRPr="00D20D2C">
        <w:rPr>
          <w:rFonts w:ascii="宋体" w:eastAsia="宋体" w:hAnsi="宋体"/>
          <w:sz w:val="24"/>
          <w:szCs w:val="24"/>
        </w:rPr>
        <w:t>“双重异化”分析揭示，当代大国竞争的核心已转向规则与制度空间。中国在东南亚数字领域的实践，展现了一种通过深度融合与体系塑造来扩展影响力的范式，可概括为</w:t>
      </w:r>
      <w:r w:rsidRPr="00D20D2C">
        <w:rPr>
          <w:rFonts w:ascii="宋体" w:eastAsia="宋体" w:hAnsi="宋体" w:cs="黑体" w:hint="eastAsia"/>
          <w:sz w:val="24"/>
          <w:szCs w:val="24"/>
        </w:rPr>
        <w:t>“</w:t>
      </w:r>
      <w:r w:rsidRPr="00D20D2C">
        <w:rPr>
          <w:rFonts w:ascii="宋体" w:eastAsia="宋体" w:hAnsi="宋体"/>
          <w:sz w:val="24"/>
          <w:szCs w:val="24"/>
        </w:rPr>
        <w:t>系统性嵌入”战略。它旨在通过积极参与地区既有制度，将自身技术标准与发展理念深度融入合作网络，从而渐进重塑其运行逻辑。这对基于主权平等与共识原则的地区制度构成了深层挑战。</w:t>
      </w:r>
    </w:p>
    <w:p w14:paraId="198CEC61" w14:textId="4409813A" w:rsidR="00C94192" w:rsidRPr="00D20D2C" w:rsidRDefault="00C94192" w:rsidP="00826C94">
      <w:pPr>
        <w:spacing w:line="360" w:lineRule="auto"/>
        <w:ind w:firstLineChars="200" w:firstLine="480"/>
        <w:rPr>
          <w:rFonts w:ascii="宋体" w:eastAsia="宋体" w:hAnsi="宋体" w:hint="eastAsia"/>
          <w:sz w:val="24"/>
          <w:szCs w:val="24"/>
        </w:rPr>
      </w:pPr>
      <w:r w:rsidRPr="00D20D2C">
        <w:rPr>
          <w:rFonts w:ascii="宋体" w:eastAsia="宋体" w:hAnsi="宋体"/>
          <w:sz w:val="24"/>
          <w:szCs w:val="24"/>
        </w:rPr>
        <w:t>“系统性嵌入”的本质是制度性权力的深度运用，旨在成为体系中不可或缺的高权重部分，以获得对演进方向的隐性影响力。其运作依赖三个机制：制度整合与规范协同：行为体并非强加规则，而是在现有框架内寻求自身倡议与地区规</w:t>
      </w:r>
      <w:r w:rsidRPr="00D20D2C">
        <w:rPr>
          <w:rFonts w:ascii="宋体" w:eastAsia="宋体" w:hAnsi="宋体"/>
          <w:sz w:val="24"/>
          <w:szCs w:val="24"/>
        </w:rPr>
        <w:lastRenderedPageBreak/>
        <w:t>范的“最大公约数”。例如，将“数字丝绸之路”与“东盟智慧城市网络”对接，使自身方案成为推进地区共同目标的“最便捷”选项，实现影响力的合法化与常态化</w:t>
      </w:r>
      <w:r w:rsidR="00867665" w:rsidRPr="00D20D2C">
        <w:rPr>
          <w:rFonts w:ascii="宋体" w:eastAsia="宋体" w:hAnsi="宋体" w:hint="eastAsia"/>
          <w:sz w:val="24"/>
          <w:szCs w:val="24"/>
        </w:rPr>
        <w:t>；</w:t>
      </w:r>
      <w:r w:rsidRPr="00D20D2C">
        <w:rPr>
          <w:rFonts w:ascii="宋体" w:eastAsia="宋体" w:hAnsi="宋体"/>
          <w:sz w:val="24"/>
          <w:szCs w:val="24"/>
        </w:rPr>
        <w:t>供给侧解决方案的捆绑提供：影响力通过提供整套应对发展需求的“解决方案包”来实现，这超越了单一技术出口，是技术、投融资、运营模式及初步治理框架的有机结合。这种“一站式”方案降低了成员国的综合成本，形成深度绑定与持续依赖</w:t>
      </w:r>
      <w:r w:rsidR="00867665" w:rsidRPr="00D20D2C">
        <w:rPr>
          <w:rFonts w:ascii="宋体" w:eastAsia="宋体" w:hAnsi="宋体" w:hint="eastAsia"/>
          <w:sz w:val="24"/>
          <w:szCs w:val="24"/>
        </w:rPr>
        <w:t>；</w:t>
      </w:r>
    </w:p>
    <w:p w14:paraId="4E54F8DD" w14:textId="77777777" w:rsidR="00C94192" w:rsidRPr="00D20D2C" w:rsidRDefault="00C94192" w:rsidP="00826C94">
      <w:pPr>
        <w:spacing w:line="360" w:lineRule="auto"/>
        <w:rPr>
          <w:rFonts w:ascii="宋体" w:eastAsia="宋体" w:hAnsi="宋体" w:hint="eastAsia"/>
          <w:sz w:val="24"/>
          <w:szCs w:val="24"/>
        </w:rPr>
      </w:pPr>
      <w:r w:rsidRPr="00D20D2C">
        <w:rPr>
          <w:rFonts w:ascii="宋体" w:eastAsia="宋体" w:hAnsi="宋体"/>
          <w:sz w:val="24"/>
          <w:szCs w:val="24"/>
        </w:rPr>
        <w:t>网络节点的选择性强化：采取“双边推动、多边认可”路径，通过与关键成员国（如印尼、泰国）打造示范项目，树立合作样板。这些成功的双边节点能产生示范效应，并能在多边场合通过伙伴国间接发声，从内部影响集体议程。</w:t>
      </w:r>
    </w:p>
    <w:p w14:paraId="5CDB203C" w14:textId="7157323C" w:rsidR="00C94192" w:rsidRPr="00D20D2C" w:rsidRDefault="00C94192" w:rsidP="00826C94">
      <w:pPr>
        <w:spacing w:line="360" w:lineRule="auto"/>
        <w:ind w:firstLineChars="200" w:firstLine="480"/>
        <w:rPr>
          <w:rFonts w:ascii="宋体" w:eastAsia="宋体" w:hAnsi="宋体" w:hint="eastAsia"/>
          <w:sz w:val="24"/>
          <w:szCs w:val="24"/>
        </w:rPr>
      </w:pPr>
      <w:r w:rsidRPr="00D20D2C">
        <w:rPr>
          <w:rFonts w:ascii="宋体" w:eastAsia="宋体" w:hAnsi="宋体"/>
          <w:sz w:val="24"/>
          <w:szCs w:val="24"/>
        </w:rPr>
        <w:t>以“东盟方式”（协商一致、不干涉内政）为核心的模式，在应对“系统性嵌入”时，其缓冲能力面临巨大压力</w:t>
      </w:r>
      <w:r w:rsidR="00867665" w:rsidRPr="00D20D2C">
        <w:rPr>
          <w:rFonts w:ascii="宋体" w:eastAsia="宋体" w:hAnsi="宋体" w:hint="eastAsia"/>
          <w:sz w:val="24"/>
          <w:szCs w:val="24"/>
        </w:rPr>
        <w:t>。</w:t>
      </w:r>
      <w:r w:rsidRPr="00D20D2C">
        <w:rPr>
          <w:rFonts w:ascii="宋体" w:eastAsia="宋体" w:hAnsi="宋体"/>
          <w:sz w:val="24"/>
          <w:szCs w:val="24"/>
        </w:rPr>
        <w:t>“协商一致”遭遇效率挑战：东盟集体决策耗时较长，而“系统性嵌入”通过高效双边渠道能提供“即时满足”。当多边进程的迟缓与双边合作的速效对比鲜明时，成员国的政策重心会向后者倾斜，从而削弱对多边平台的依赖，侵蚀集体行动根基</w:t>
      </w:r>
      <w:r w:rsidR="00867665" w:rsidRPr="00D20D2C">
        <w:rPr>
          <w:rFonts w:ascii="宋体" w:eastAsia="宋体" w:hAnsi="宋体" w:hint="eastAsia"/>
          <w:sz w:val="24"/>
          <w:szCs w:val="24"/>
        </w:rPr>
        <w:t>；</w:t>
      </w:r>
      <w:r w:rsidRPr="00D20D2C">
        <w:rPr>
          <w:rFonts w:ascii="宋体" w:eastAsia="宋体" w:hAnsi="宋体"/>
          <w:sz w:val="24"/>
          <w:szCs w:val="24"/>
        </w:rPr>
        <w:t>“不干涉内政”面临外溢效应管理难题：该原则保护了成员国自主选择合作伙伴的权利。然而，当一个大国与某一成员国的深度合作（如建设全国性数据基础设施）可能产生重大技术与安全外溢效应、影响整个地区生态时，东盟作为一个整体却缺乏机制进行协调或设定共同底线，使地区整体暴露在系统性风险之下</w:t>
      </w:r>
      <w:r w:rsidR="00867665" w:rsidRPr="00D20D2C">
        <w:rPr>
          <w:rFonts w:ascii="宋体" w:eastAsia="宋体" w:hAnsi="宋体" w:hint="eastAsia"/>
          <w:sz w:val="24"/>
          <w:szCs w:val="24"/>
        </w:rPr>
        <w:t>；</w:t>
      </w:r>
      <w:r w:rsidRPr="00D20D2C">
        <w:rPr>
          <w:rFonts w:ascii="宋体" w:eastAsia="宋体" w:hAnsi="宋体"/>
          <w:sz w:val="24"/>
          <w:szCs w:val="24"/>
        </w:rPr>
        <w:t>“软性规范”抗衡“硬性依赖”的乏力：东盟擅长的前瞻性宣言等软法规范，在成员国因深度嵌入而形成的技术依赖、数据依赖和资本依赖面前，常常无力。当地区规范与实际合作项目中形成的具体规则冲突时，往往是后者在实际运作中胜出。</w:t>
      </w:r>
    </w:p>
    <w:p w14:paraId="71A1B4E8" w14:textId="4F27D746" w:rsidR="00C94192" w:rsidRPr="00D20D2C" w:rsidRDefault="00C94192" w:rsidP="00826C94">
      <w:pPr>
        <w:spacing w:line="360" w:lineRule="auto"/>
        <w:ind w:firstLineChars="200" w:firstLine="480"/>
        <w:rPr>
          <w:rFonts w:ascii="宋体" w:eastAsia="宋体" w:hAnsi="宋体" w:hint="eastAsia"/>
          <w:sz w:val="24"/>
          <w:szCs w:val="24"/>
        </w:rPr>
      </w:pPr>
      <w:r w:rsidRPr="00D20D2C">
        <w:rPr>
          <w:rFonts w:ascii="宋体" w:eastAsia="宋体" w:hAnsi="宋体"/>
          <w:sz w:val="24"/>
          <w:szCs w:val="24"/>
        </w:rPr>
        <w:t>面对“系统性嵌入”的结构性压力，地区制度必须从被动适应转向主动塑造，构建</w:t>
      </w:r>
      <w:r w:rsidRPr="00D20D2C">
        <w:rPr>
          <w:rFonts w:ascii="宋体" w:eastAsia="宋体" w:hAnsi="宋体" w:cs="黑体" w:hint="eastAsia"/>
          <w:sz w:val="24"/>
          <w:szCs w:val="24"/>
        </w:rPr>
        <w:t>“</w:t>
      </w:r>
      <w:r w:rsidRPr="00D20D2C">
        <w:rPr>
          <w:rFonts w:ascii="宋体" w:eastAsia="宋体" w:hAnsi="宋体"/>
          <w:sz w:val="24"/>
          <w:szCs w:val="24"/>
        </w:rPr>
        <w:t>韧性与创造型地区主义”。</w:t>
      </w:r>
      <w:r w:rsidR="00867665" w:rsidRPr="00D20D2C">
        <w:rPr>
          <w:rFonts w:ascii="宋体" w:eastAsia="宋体" w:hAnsi="宋体" w:hint="eastAsia"/>
          <w:sz w:val="24"/>
          <w:szCs w:val="24"/>
        </w:rPr>
        <w:t>首先是认知的重塑，</w:t>
      </w:r>
      <w:r w:rsidRPr="00D20D2C">
        <w:rPr>
          <w:rFonts w:ascii="宋体" w:eastAsia="宋体" w:hAnsi="宋体"/>
          <w:sz w:val="24"/>
          <w:szCs w:val="24"/>
        </w:rPr>
        <w:t>需推动主权观念向动态的、注重风险管控的</w:t>
      </w:r>
      <w:r w:rsidRPr="00D20D2C">
        <w:rPr>
          <w:rFonts w:ascii="宋体" w:eastAsia="宋体" w:hAnsi="宋体" w:cs="黑体" w:hint="eastAsia"/>
          <w:sz w:val="24"/>
          <w:szCs w:val="24"/>
        </w:rPr>
        <w:t>“</w:t>
      </w:r>
      <w:r w:rsidRPr="00D20D2C">
        <w:rPr>
          <w:rFonts w:ascii="宋体" w:eastAsia="宋体" w:hAnsi="宋体"/>
          <w:sz w:val="24"/>
          <w:szCs w:val="24"/>
        </w:rPr>
        <w:t>韧性主权”演进。地区集体应发展一套评估外部合作“战略性影响”的共享框架，对关键技术依赖、数据主权让渡等进行透明评估与同行审议，帮助成员国在知情基础上做出选择，并规划风险缓释措施，提升整个地区的集体韧性。</w:t>
      </w:r>
      <w:r w:rsidR="00867665" w:rsidRPr="00D20D2C">
        <w:rPr>
          <w:rFonts w:ascii="宋体" w:eastAsia="宋体" w:hAnsi="宋体" w:hint="eastAsia"/>
          <w:sz w:val="24"/>
          <w:szCs w:val="24"/>
        </w:rPr>
        <w:t>其次需要</w:t>
      </w:r>
      <w:r w:rsidRPr="00D20D2C">
        <w:rPr>
          <w:rFonts w:ascii="宋体" w:eastAsia="宋体" w:hAnsi="宋体"/>
          <w:sz w:val="24"/>
          <w:szCs w:val="24"/>
        </w:rPr>
        <w:t>打造自主的“制度与标准供给能力”</w:t>
      </w:r>
      <w:r w:rsidR="00867665" w:rsidRPr="00D20D2C">
        <w:rPr>
          <w:rFonts w:ascii="宋体" w:eastAsia="宋体" w:hAnsi="宋体" w:hint="eastAsia"/>
          <w:sz w:val="24"/>
          <w:szCs w:val="24"/>
        </w:rPr>
        <w:t>，</w:t>
      </w:r>
      <w:r w:rsidRPr="00D20D2C">
        <w:rPr>
          <w:rFonts w:ascii="宋体" w:eastAsia="宋体" w:hAnsi="宋体"/>
          <w:sz w:val="24"/>
          <w:szCs w:val="24"/>
        </w:rPr>
        <w:t>地区制度必须投资于自身的</w:t>
      </w:r>
      <w:r w:rsidRPr="00D20D2C">
        <w:rPr>
          <w:rFonts w:ascii="宋体" w:eastAsia="宋体" w:hAnsi="宋体" w:cs="黑体" w:hint="eastAsia"/>
          <w:sz w:val="24"/>
          <w:szCs w:val="24"/>
        </w:rPr>
        <w:t>“</w:t>
      </w:r>
      <w:r w:rsidRPr="00D20D2C">
        <w:rPr>
          <w:rFonts w:ascii="宋体" w:eastAsia="宋体" w:hAnsi="宋体"/>
          <w:sz w:val="24"/>
          <w:szCs w:val="24"/>
        </w:rPr>
        <w:t>规则创新能力”。例如，东盟可以集合力量，研发适用于本地区背景的“人工智能影响评估工具”或“跨境数据流动标准合同范本”。关键在于，这些工具</w:t>
      </w:r>
      <w:r w:rsidRPr="00D20D2C">
        <w:rPr>
          <w:rFonts w:ascii="宋体" w:eastAsia="宋体" w:hAnsi="宋体"/>
          <w:sz w:val="24"/>
          <w:szCs w:val="24"/>
        </w:rPr>
        <w:lastRenderedPageBreak/>
        <w:t>和标准必须是自主开发、切实可用且能创造价值的，并能与地区单一市场建设相结合，形成内生推广动力。拥有自主的规则产品，是迈向“规则共创者”的关键</w:t>
      </w:r>
      <w:r w:rsidR="00867665" w:rsidRPr="00D20D2C">
        <w:rPr>
          <w:rFonts w:ascii="宋体" w:eastAsia="宋体" w:hAnsi="宋体" w:hint="eastAsia"/>
          <w:sz w:val="24"/>
          <w:szCs w:val="24"/>
        </w:rPr>
        <w:t>。战略上同样需要进行统筹，</w:t>
      </w:r>
      <w:r w:rsidRPr="00D20D2C">
        <w:rPr>
          <w:rFonts w:ascii="宋体" w:eastAsia="宋体" w:hAnsi="宋体"/>
          <w:sz w:val="24"/>
          <w:szCs w:val="24"/>
        </w:rPr>
        <w:t>应放弃追求在所有议题上保持等距，转而采取</w:t>
      </w:r>
      <w:r w:rsidRPr="00D20D2C">
        <w:rPr>
          <w:rFonts w:ascii="宋体" w:eastAsia="宋体" w:hAnsi="宋体" w:cs="黑体" w:hint="eastAsia"/>
          <w:sz w:val="24"/>
          <w:szCs w:val="24"/>
        </w:rPr>
        <w:t>“</w:t>
      </w:r>
      <w:r w:rsidRPr="00D20D2C">
        <w:rPr>
          <w:rFonts w:ascii="宋体" w:eastAsia="宋体" w:hAnsi="宋体"/>
          <w:sz w:val="24"/>
          <w:szCs w:val="24"/>
        </w:rPr>
        <w:t>议题网络化平衡”策略。即在不同的功能性议题上，与不同的外部伙伴构建深度链接：在AI伦理领域可与欧盟加强合作；在数字基建领域与中国、韩国务实合作；在创新研发上与美国、日本保持沟通。通过这种精心设计的、议题导向的多元深度链接，地区制度可以将自身转化为一个珍贵的“枢纽网络”，从而增强整体议价能力和中心地位</w:t>
      </w:r>
    </w:p>
    <w:p w14:paraId="31AF7B04" w14:textId="61FE4493" w:rsidR="00EF6C57" w:rsidRDefault="00EF6C57" w:rsidP="00826C94">
      <w:pPr>
        <w:spacing w:line="360" w:lineRule="auto"/>
        <w:ind w:firstLineChars="200" w:firstLine="480"/>
        <w:rPr>
          <w:rFonts w:ascii="宋体" w:eastAsia="宋体" w:hAnsi="宋体" w:hint="eastAsia"/>
          <w:sz w:val="24"/>
          <w:szCs w:val="24"/>
        </w:rPr>
      </w:pPr>
      <w:r w:rsidRPr="00D20D2C">
        <w:rPr>
          <w:rFonts w:ascii="宋体" w:eastAsia="宋体" w:hAnsi="宋体"/>
          <w:sz w:val="24"/>
          <w:szCs w:val="24"/>
        </w:rPr>
        <w:t>“系统性嵌入”代表着大国影响力投射方式的迭代。它要求地区主义范式进行革新。对于东盟而言，未来的“中心地位”必须立足于其能否为成员国提供增强战略韧性的知识、保障自主选择的制度工具以及创造发展机遇的规则平台。这标志着地区主义的目标应从维持“避免选边”的静态稳定，转向追求“能主动塑造选项”的动态平衡。这一理论探索，为所有地区集团如何在新时代维护主体性与繁荣，提供了关键思考方向。</w:t>
      </w:r>
    </w:p>
    <w:p w14:paraId="78FAC797" w14:textId="77777777" w:rsidR="00D3795A" w:rsidRDefault="00D3795A" w:rsidP="00826C94">
      <w:pPr>
        <w:spacing w:line="360" w:lineRule="auto"/>
        <w:ind w:firstLineChars="200" w:firstLine="480"/>
        <w:rPr>
          <w:rFonts w:ascii="宋体" w:eastAsia="宋体" w:hAnsi="宋体" w:hint="eastAsia"/>
          <w:sz w:val="24"/>
          <w:szCs w:val="24"/>
        </w:rPr>
      </w:pPr>
    </w:p>
    <w:p w14:paraId="5BE2A15B" w14:textId="77777777" w:rsidR="00D3795A" w:rsidRPr="00D20D2C" w:rsidRDefault="00D3795A" w:rsidP="00826C94">
      <w:pPr>
        <w:spacing w:line="360" w:lineRule="auto"/>
        <w:ind w:firstLineChars="200" w:firstLine="480"/>
        <w:rPr>
          <w:rFonts w:ascii="宋体" w:eastAsia="宋体" w:hAnsi="宋体" w:hint="eastAsia"/>
          <w:sz w:val="24"/>
          <w:szCs w:val="24"/>
        </w:rPr>
      </w:pPr>
    </w:p>
    <w:p w14:paraId="3F09A5D8" w14:textId="66693ACA" w:rsidR="00CF03C3" w:rsidRPr="002A3225" w:rsidRDefault="00D54087" w:rsidP="00D3795A">
      <w:pPr>
        <w:rPr>
          <w:rFonts w:ascii="黑体" w:eastAsia="黑体" w:hAnsi="黑体" w:hint="eastAsia"/>
          <w:sz w:val="24"/>
          <w:szCs w:val="24"/>
        </w:rPr>
      </w:pPr>
      <w:r w:rsidRPr="002A3225">
        <w:rPr>
          <w:rFonts w:ascii="黑体" w:eastAsia="黑体" w:hAnsi="黑体" w:hint="eastAsia"/>
          <w:sz w:val="36"/>
          <w:szCs w:val="36"/>
        </w:rPr>
        <w:t>五</w:t>
      </w:r>
      <w:r w:rsidR="00CF03C3" w:rsidRPr="002A3225">
        <w:rPr>
          <w:rFonts w:ascii="黑体" w:eastAsia="黑体" w:hAnsi="黑体"/>
          <w:sz w:val="36"/>
          <w:szCs w:val="36"/>
        </w:rPr>
        <w:t>、</w:t>
      </w:r>
      <w:r w:rsidR="00CF03C3" w:rsidRPr="002A3225">
        <w:rPr>
          <w:rFonts w:ascii="黑体" w:eastAsia="黑体" w:hAnsi="黑体" w:hint="eastAsia"/>
          <w:sz w:val="36"/>
          <w:szCs w:val="36"/>
        </w:rPr>
        <w:t>理论涵义：</w:t>
      </w:r>
      <w:r w:rsidR="00CF03C3" w:rsidRPr="002A3225">
        <w:rPr>
          <w:rFonts w:ascii="黑体" w:eastAsia="黑体" w:hAnsi="黑体"/>
          <w:sz w:val="36"/>
          <w:szCs w:val="36"/>
        </w:rPr>
        <w:t>结论：迈向数字时代的新政治经济学——兼论“双重异化”的理论启示</w:t>
      </w:r>
      <w:r w:rsidR="00CF03C3" w:rsidRPr="002A3225">
        <w:rPr>
          <w:rFonts w:ascii="黑体" w:eastAsia="黑体" w:hAnsi="黑体" w:hint="eastAsia"/>
          <w:sz w:val="36"/>
          <w:szCs w:val="36"/>
        </w:rPr>
        <w:t>：</w:t>
      </w:r>
    </w:p>
    <w:p w14:paraId="0BF6F513" w14:textId="17F19A84" w:rsidR="004B5C8E" w:rsidRPr="00D20D2C" w:rsidRDefault="00CF03C3" w:rsidP="00826C94">
      <w:pPr>
        <w:spacing w:line="360" w:lineRule="auto"/>
        <w:ind w:firstLineChars="200" w:firstLine="480"/>
        <w:rPr>
          <w:rFonts w:ascii="宋体" w:eastAsia="宋体" w:hAnsi="宋体" w:hint="eastAsia"/>
          <w:sz w:val="24"/>
          <w:szCs w:val="24"/>
        </w:rPr>
      </w:pPr>
      <w:r w:rsidRPr="00D20D2C">
        <w:rPr>
          <w:rFonts w:ascii="宋体" w:eastAsia="宋体" w:hAnsi="宋体"/>
          <w:sz w:val="24"/>
          <w:szCs w:val="24"/>
        </w:rPr>
        <w:t>“双重异化”框架的核心价值在于捕捉到国际政治经济互动中两个相互关联的根本性变化</w:t>
      </w:r>
      <w:r w:rsidR="004B5C8E" w:rsidRPr="00D20D2C">
        <w:rPr>
          <w:rFonts w:ascii="宋体" w:eastAsia="宋体" w:hAnsi="宋体" w:hint="eastAsia"/>
          <w:sz w:val="24"/>
          <w:szCs w:val="24"/>
        </w:rPr>
        <w:t>，发现了</w:t>
      </w:r>
      <w:r w:rsidR="004B5C8E" w:rsidRPr="00D20D2C">
        <w:rPr>
          <w:rFonts w:ascii="宋体" w:eastAsia="宋体" w:hAnsi="宋体"/>
          <w:sz w:val="24"/>
          <w:szCs w:val="24"/>
        </w:rPr>
        <w:t>制度的功能性嬗变与权力的形态转换</w:t>
      </w:r>
      <w:r w:rsidR="004B5C8E" w:rsidRPr="00D20D2C">
        <w:rPr>
          <w:rFonts w:ascii="宋体" w:eastAsia="宋体" w:hAnsi="宋体" w:hint="eastAsia"/>
          <w:sz w:val="24"/>
          <w:szCs w:val="24"/>
        </w:rPr>
        <w:t>。</w:t>
      </w:r>
    </w:p>
    <w:p w14:paraId="0ACFB0B8" w14:textId="77777777" w:rsidR="004A2FCA" w:rsidRPr="00D20D2C" w:rsidRDefault="00CF03C3" w:rsidP="00826C94">
      <w:pPr>
        <w:spacing w:line="360" w:lineRule="auto"/>
        <w:ind w:firstLineChars="200" w:firstLine="480"/>
        <w:rPr>
          <w:rFonts w:ascii="宋体" w:eastAsia="宋体" w:hAnsi="宋体" w:hint="eastAsia"/>
          <w:sz w:val="24"/>
          <w:szCs w:val="24"/>
        </w:rPr>
      </w:pPr>
      <w:r w:rsidRPr="00D20D2C">
        <w:rPr>
          <w:rFonts w:ascii="宋体" w:eastAsia="宋体" w:hAnsi="宋体"/>
          <w:sz w:val="24"/>
          <w:szCs w:val="24"/>
        </w:rPr>
        <w:t>从“制度的政治”到“政治的制度化”：传统理论视制度为解决政治问题的工具。而在数字时代的战略竞争，特别是“系统性嵌入”策略中，我们看到的是政治本身的彻底制度化。竞争不再仅仅围绕在制度内获得优势（如投票权），而是围绕制度的基因编码——即其规则范式的哲学基础、技术标准的路径依赖以及合作网络的结构形态。大国竞争的目标，是成为地区制度体系的“操作系统”设计者，而非仅仅是在某一“应用程序”中胜出。这使得权力竞争变得更加隐蔽、持久且具有结构性锁定效应。</w:t>
      </w:r>
    </w:p>
    <w:p w14:paraId="76C21A1E" w14:textId="60E3853B" w:rsidR="00CF03C3" w:rsidRPr="00D20D2C" w:rsidRDefault="00CF03C3" w:rsidP="00826C94">
      <w:pPr>
        <w:spacing w:line="360" w:lineRule="auto"/>
        <w:ind w:firstLineChars="200" w:firstLine="480"/>
        <w:rPr>
          <w:rFonts w:ascii="宋体" w:eastAsia="宋体" w:hAnsi="宋体" w:hint="eastAsia"/>
          <w:sz w:val="24"/>
          <w:szCs w:val="24"/>
        </w:rPr>
      </w:pPr>
      <w:r w:rsidRPr="00D20D2C">
        <w:rPr>
          <w:rFonts w:ascii="宋体" w:eastAsia="宋体" w:hAnsi="宋体"/>
          <w:sz w:val="24"/>
          <w:szCs w:val="24"/>
        </w:rPr>
        <w:t>从“硬权力投射”到“软基础设施权力”的生成：经典的地缘政治强调对领土、资源和关键通道的控制。数字时代的地缘政治，则日益体现在对数据流、算</w:t>
      </w:r>
      <w:r w:rsidRPr="00D20D2C">
        <w:rPr>
          <w:rFonts w:ascii="宋体" w:eastAsia="宋体" w:hAnsi="宋体"/>
          <w:sz w:val="24"/>
          <w:szCs w:val="24"/>
        </w:rPr>
        <w:lastRenderedPageBreak/>
        <w:t>法协议、技术标准以及数字基础设施互联互通节点的掌控上。这是一种</w:t>
      </w:r>
      <w:r w:rsidRPr="00D20D2C">
        <w:rPr>
          <w:rFonts w:ascii="宋体" w:eastAsia="宋体" w:hAnsi="宋体" w:cs="黑体" w:hint="eastAsia"/>
          <w:sz w:val="24"/>
          <w:szCs w:val="24"/>
        </w:rPr>
        <w:t>“</w:t>
      </w:r>
      <w:r w:rsidRPr="00D20D2C">
        <w:rPr>
          <w:rFonts w:ascii="宋体" w:eastAsia="宋体" w:hAnsi="宋体"/>
          <w:sz w:val="24"/>
          <w:szCs w:val="24"/>
        </w:rPr>
        <w:t>软基础设施权力”。中国在东南亚的实践表明，这种权力通过参与建设物理基础设施（如数据中心），并同时赋予其特定的数据治理逻辑和安全标准而得以生成。它创造了一种新型依赖关系：这种依赖不仅关乎经济利益，更关乎社会治理的数字化效能和国家安全的技术基底。权力的形态，从威慑与强制，转向了融合与不可或缺性。</w:t>
      </w:r>
    </w:p>
    <w:p w14:paraId="36729F09" w14:textId="037F74A5" w:rsidR="004A2FCA" w:rsidRPr="00D20D2C" w:rsidRDefault="00CF03C3" w:rsidP="00826C94">
      <w:pPr>
        <w:spacing w:line="360" w:lineRule="auto"/>
        <w:ind w:firstLineChars="200" w:firstLine="480"/>
        <w:rPr>
          <w:rFonts w:ascii="宋体" w:eastAsia="宋体" w:hAnsi="宋体" w:hint="eastAsia"/>
          <w:sz w:val="24"/>
          <w:szCs w:val="24"/>
        </w:rPr>
      </w:pPr>
      <w:r w:rsidRPr="00D20D2C">
        <w:rPr>
          <w:rFonts w:ascii="宋体" w:eastAsia="宋体" w:hAnsi="宋体"/>
          <w:sz w:val="24"/>
          <w:szCs w:val="24"/>
        </w:rPr>
        <w:t>本文的案例分析，对国际关系的基础理论提出了若干</w:t>
      </w:r>
      <w:r w:rsidR="005D329C" w:rsidRPr="00D20D2C">
        <w:rPr>
          <w:rFonts w:ascii="宋体" w:eastAsia="宋体" w:hAnsi="宋体" w:hint="eastAsia"/>
          <w:sz w:val="24"/>
          <w:szCs w:val="24"/>
        </w:rPr>
        <w:t>可以研究</w:t>
      </w:r>
      <w:r w:rsidRPr="00D20D2C">
        <w:rPr>
          <w:rFonts w:ascii="宋体" w:eastAsia="宋体" w:hAnsi="宋体"/>
          <w:sz w:val="24"/>
          <w:szCs w:val="24"/>
        </w:rPr>
        <w:t>的议题：</w:t>
      </w:r>
    </w:p>
    <w:p w14:paraId="4DF888B5" w14:textId="63D3CEA9" w:rsidR="004A2FCA" w:rsidRPr="00D20D2C" w:rsidRDefault="005D329C" w:rsidP="00826C94">
      <w:pPr>
        <w:spacing w:line="360" w:lineRule="auto"/>
        <w:ind w:firstLineChars="200" w:firstLine="480"/>
        <w:rPr>
          <w:rFonts w:ascii="宋体" w:eastAsia="宋体" w:hAnsi="宋体" w:hint="eastAsia"/>
          <w:sz w:val="24"/>
          <w:szCs w:val="24"/>
        </w:rPr>
      </w:pPr>
      <w:r w:rsidRPr="00D20D2C">
        <w:rPr>
          <w:rFonts w:ascii="宋体" w:eastAsia="宋体" w:hAnsi="宋体" w:hint="eastAsia"/>
          <w:sz w:val="24"/>
          <w:szCs w:val="24"/>
        </w:rPr>
        <w:t>无政府状态的现实</w:t>
      </w:r>
      <w:r w:rsidR="00CF03C3" w:rsidRPr="00D20D2C">
        <w:rPr>
          <w:rFonts w:ascii="宋体" w:eastAsia="宋体" w:hAnsi="宋体"/>
          <w:sz w:val="24"/>
          <w:szCs w:val="24"/>
        </w:rPr>
        <w:t>：国际体系的无政府特性并未改变，但其内涵正在扩展。它不仅是主权国家缺乏最高权威的状态，更演变为多种技术治理体系、数据规范秩序竞争共存的“规则无政府状态”。行为体面临的，不仅是安全困境，更是“规则采纳困境”和“生态绑定困境”。</w:t>
      </w:r>
    </w:p>
    <w:p w14:paraId="08660379" w14:textId="137B0FB0" w:rsidR="004A2FCA" w:rsidRPr="00D20D2C" w:rsidRDefault="00CF03C3" w:rsidP="00826C94">
      <w:pPr>
        <w:spacing w:line="360" w:lineRule="auto"/>
        <w:ind w:firstLineChars="200" w:firstLine="480"/>
        <w:rPr>
          <w:rFonts w:ascii="宋体" w:eastAsia="宋体" w:hAnsi="宋体" w:hint="eastAsia"/>
          <w:sz w:val="24"/>
          <w:szCs w:val="24"/>
        </w:rPr>
      </w:pPr>
      <w:r w:rsidRPr="00D20D2C">
        <w:rPr>
          <w:rFonts w:ascii="宋体" w:eastAsia="宋体" w:hAnsi="宋体"/>
          <w:sz w:val="24"/>
          <w:szCs w:val="24"/>
        </w:rPr>
        <w:t>“主体性”的再界定：在深度相互依赖和系统性嵌入的背景下，国家（尤其是中小国家）的主体性不再仅仅等同于形式上的主权独立，更体现为一种</w:t>
      </w:r>
      <w:r w:rsidRPr="00D20D2C">
        <w:rPr>
          <w:rFonts w:ascii="宋体" w:eastAsia="宋体" w:hAnsi="宋体" w:cs="黑体" w:hint="eastAsia"/>
          <w:sz w:val="24"/>
          <w:szCs w:val="24"/>
        </w:rPr>
        <w:t>“</w:t>
      </w:r>
      <w:r w:rsidRPr="00D20D2C">
        <w:rPr>
          <w:rFonts w:ascii="宋体" w:eastAsia="宋体" w:hAnsi="宋体"/>
          <w:sz w:val="24"/>
          <w:szCs w:val="24"/>
        </w:rPr>
        <w:t>战略选择能力”——即在复杂、嵌套的制度与技术选项中，保持辨识、评估、权衡并组合不同要素以实现自身长期利益最大化的能力。地区制度的价值，正在于赋能和保障这种实质性的战略选择能力。</w:t>
      </w:r>
    </w:p>
    <w:p w14:paraId="2E63B5AE" w14:textId="47F19384" w:rsidR="00CF03C3" w:rsidRPr="00D20D2C" w:rsidRDefault="00CF03C3" w:rsidP="00826C94">
      <w:pPr>
        <w:spacing w:line="360" w:lineRule="auto"/>
        <w:ind w:firstLineChars="200" w:firstLine="480"/>
        <w:rPr>
          <w:rFonts w:ascii="宋体" w:eastAsia="宋体" w:hAnsi="宋体" w:hint="eastAsia"/>
          <w:sz w:val="24"/>
          <w:szCs w:val="24"/>
        </w:rPr>
      </w:pPr>
      <w:r w:rsidRPr="00D20D2C">
        <w:rPr>
          <w:rFonts w:ascii="宋体" w:eastAsia="宋体" w:hAnsi="宋体"/>
          <w:sz w:val="24"/>
          <w:szCs w:val="24"/>
        </w:rPr>
        <w:t>“地区”概念的实体化：地区不再仅仅是地理邻近性或文化相似性的产物，更在数字时代因技术生态的聚合、数据规制空间的整合以及共同应对数字治理挑战的需求，而被赋予新的政治经济学意义。地区成为大国技术-制度范式竞争的关键试验场与规模效应实现地，其内部团结与创新意志，直接决定了它在全球数字秩序分层中的位置。</w:t>
      </w:r>
    </w:p>
    <w:p w14:paraId="0331DDE8" w14:textId="23E1EAE6" w:rsidR="00CF03C3" w:rsidRPr="00D20D2C" w:rsidRDefault="00CF03C3" w:rsidP="00826C94">
      <w:pPr>
        <w:spacing w:line="360" w:lineRule="auto"/>
        <w:ind w:firstLineChars="200" w:firstLine="480"/>
        <w:rPr>
          <w:rFonts w:ascii="宋体" w:eastAsia="宋体" w:hAnsi="宋体" w:hint="eastAsia"/>
          <w:sz w:val="24"/>
          <w:szCs w:val="24"/>
        </w:rPr>
      </w:pPr>
      <w:r w:rsidRPr="00D20D2C">
        <w:rPr>
          <w:rFonts w:ascii="宋体" w:eastAsia="宋体" w:hAnsi="宋体"/>
          <w:sz w:val="24"/>
          <w:szCs w:val="24"/>
        </w:rPr>
        <w:t>基于上述分析，数字时代的全球秩序很可能不会演变为一个单一同质的体系，也不会简单回归到两极或多极霸权格局。更可能出现的，是一种</w:t>
      </w:r>
      <w:r w:rsidRPr="00D20D2C">
        <w:rPr>
          <w:rFonts w:ascii="宋体" w:eastAsia="宋体" w:hAnsi="宋体" w:cs="黑体" w:hint="eastAsia"/>
          <w:sz w:val="24"/>
          <w:szCs w:val="24"/>
        </w:rPr>
        <w:t>“</w:t>
      </w:r>
      <w:r w:rsidRPr="00D20D2C">
        <w:rPr>
          <w:rFonts w:ascii="宋体" w:eastAsia="宋体" w:hAnsi="宋体"/>
          <w:sz w:val="24"/>
          <w:szCs w:val="24"/>
        </w:rPr>
        <w:t>多元秩序嵌套”的复杂景观：在底层基础设施与硬件供应链层面，可能出现基于安全逻辑、有限脱钩的“板块化”结构。在中间层的技术标准与数据流动规则上，将存在多个由不同大国或联盟主导的“制度圈”，它们之间既有竞争，也可能在具体议题上存在接口与互操作性的协商。在顶层的伦理与治理原则领域，则将继续充满全球性的辩论与话语竞争，难以形成统一框架。</w:t>
      </w:r>
    </w:p>
    <w:p w14:paraId="39CF61C4" w14:textId="285AB5BB" w:rsidR="00CF03C3" w:rsidRPr="00D20D2C" w:rsidRDefault="00CF03C3" w:rsidP="00826C94">
      <w:pPr>
        <w:spacing w:line="360" w:lineRule="auto"/>
        <w:ind w:firstLineChars="200" w:firstLine="480"/>
        <w:rPr>
          <w:rFonts w:ascii="宋体" w:eastAsia="宋体" w:hAnsi="宋体" w:hint="eastAsia"/>
          <w:sz w:val="24"/>
          <w:szCs w:val="24"/>
        </w:rPr>
      </w:pPr>
      <w:r w:rsidRPr="00D20D2C">
        <w:rPr>
          <w:rFonts w:ascii="宋体" w:eastAsia="宋体" w:hAnsi="宋体"/>
          <w:sz w:val="24"/>
          <w:szCs w:val="24"/>
        </w:rPr>
        <w:t>在这一图景中，成功的国家与地区不再是那些试图孤立自保或彻底倒向一方</w:t>
      </w:r>
      <w:r w:rsidRPr="00D20D2C">
        <w:rPr>
          <w:rFonts w:ascii="宋体" w:eastAsia="宋体" w:hAnsi="宋体"/>
          <w:sz w:val="24"/>
          <w:szCs w:val="24"/>
        </w:rPr>
        <w:lastRenderedPageBreak/>
        <w:t>的行为体，而是那些能够培养出高度</w:t>
      </w:r>
      <w:r w:rsidRPr="00D20D2C">
        <w:rPr>
          <w:rFonts w:ascii="宋体" w:eastAsia="宋体" w:hAnsi="宋体" w:cs="黑体" w:hint="eastAsia"/>
          <w:sz w:val="24"/>
          <w:szCs w:val="24"/>
        </w:rPr>
        <w:t>“</w:t>
      </w:r>
      <w:r w:rsidRPr="00D20D2C">
        <w:rPr>
          <w:rFonts w:ascii="宋体" w:eastAsia="宋体" w:hAnsi="宋体"/>
          <w:sz w:val="24"/>
          <w:szCs w:val="24"/>
        </w:rPr>
        <w:t>韧性”的行为体。这种韧性包括：技术韧性（多样化的供应链与创新能力）、制度韧性（维护核心决策自主的规则能力）以及联盟韧性（构建灵活议题网络的外交能力）。</w:t>
      </w:r>
      <w:r w:rsidR="00727EA0" w:rsidRPr="00D20D2C">
        <w:rPr>
          <w:rFonts w:ascii="宋体" w:eastAsia="宋体" w:hAnsi="宋体" w:hint="eastAsia"/>
          <w:sz w:val="24"/>
          <w:szCs w:val="24"/>
        </w:rPr>
        <w:t>东盟的案例</w:t>
      </w:r>
      <w:r w:rsidRPr="00D20D2C">
        <w:rPr>
          <w:rFonts w:ascii="宋体" w:eastAsia="宋体" w:hAnsi="宋体"/>
          <w:sz w:val="24"/>
          <w:szCs w:val="24"/>
        </w:rPr>
        <w:t>，正是全球南方在数字洪流中探索这种韧性政治的早期缩影。</w:t>
      </w:r>
    </w:p>
    <w:p w14:paraId="63E67D3C" w14:textId="0B6441E8" w:rsidR="00CF03C3" w:rsidRPr="00D20D2C" w:rsidRDefault="00CF03C3" w:rsidP="00826C94">
      <w:pPr>
        <w:spacing w:line="360" w:lineRule="auto"/>
        <w:ind w:firstLineChars="200" w:firstLine="480"/>
        <w:rPr>
          <w:rFonts w:ascii="宋体" w:eastAsia="宋体" w:hAnsi="宋体" w:hint="eastAsia"/>
          <w:sz w:val="24"/>
          <w:szCs w:val="24"/>
        </w:rPr>
      </w:pPr>
      <w:r w:rsidRPr="00D20D2C">
        <w:rPr>
          <w:rFonts w:ascii="宋体" w:eastAsia="宋体" w:hAnsi="宋体"/>
          <w:sz w:val="24"/>
          <w:szCs w:val="24"/>
        </w:rPr>
        <w:t>人工智能与数字技术并非外在于国际政治的单纯工具，它们正在重新定义权力的来源、竞争的维度与合作的逻辑。本文以中国-东盟数字互动为镜，提出的“双重异化”框架，是对这一深刻变革的初步理论回应。它指出，理解当代国际政治，必须同时审视“合作网络如何被战略性地塑造”以及“规则话语如何被竞争性地分裂”这两个共生进程。</w:t>
      </w:r>
    </w:p>
    <w:p w14:paraId="1C5F4941" w14:textId="30B9F9F5" w:rsidR="00CF03C3" w:rsidRPr="00D20D2C" w:rsidRDefault="00CF03C3" w:rsidP="00826C94">
      <w:pPr>
        <w:spacing w:line="360" w:lineRule="auto"/>
        <w:ind w:firstLineChars="200" w:firstLine="480"/>
        <w:rPr>
          <w:rFonts w:ascii="宋体" w:eastAsia="宋体" w:hAnsi="宋体" w:hint="eastAsia"/>
          <w:sz w:val="24"/>
          <w:szCs w:val="24"/>
        </w:rPr>
      </w:pPr>
      <w:r w:rsidRPr="00D20D2C">
        <w:rPr>
          <w:rFonts w:ascii="宋体" w:eastAsia="宋体" w:hAnsi="宋体"/>
          <w:sz w:val="24"/>
          <w:szCs w:val="24"/>
        </w:rPr>
        <w:t>未来的研究需在此基础上，更精细地追踪技术标准制定的政治过程，分析数字依赖关系对国家行为的影响，并比较不同地区（如欧洲、非洲）应对数字时代大国竞争的路径差异。唯有持续推动理论的创新，我们才能穿透技术的迷雾，把握数字时代世界政治的本质脉搏，为在一个更加复杂且充满不确定性的未来中寻找稳定与繁荣之道，提供至关重要的思想指南。</w:t>
      </w:r>
    </w:p>
    <w:p w14:paraId="5FE39EB3" w14:textId="77777777" w:rsidR="00CF03C3" w:rsidRPr="002A3225" w:rsidRDefault="00CF03C3" w:rsidP="00CF03C3">
      <w:pPr>
        <w:rPr>
          <w:rFonts w:ascii="黑体" w:eastAsia="黑体" w:hAnsi="黑体" w:hint="eastAsia"/>
          <w:sz w:val="24"/>
          <w:szCs w:val="24"/>
        </w:rPr>
      </w:pPr>
    </w:p>
    <w:p w14:paraId="76BF24F6" w14:textId="702C2D0D" w:rsidR="00CF03C3" w:rsidRPr="002A3225" w:rsidRDefault="00CF03C3" w:rsidP="00FB7B93">
      <w:pPr>
        <w:rPr>
          <w:rFonts w:ascii="黑体" w:eastAsia="黑体" w:hAnsi="黑体" w:hint="eastAsia"/>
          <w:sz w:val="24"/>
          <w:szCs w:val="24"/>
        </w:rPr>
      </w:pPr>
    </w:p>
    <w:p w14:paraId="3627C788" w14:textId="77777777" w:rsidR="002261C9" w:rsidRPr="002A3225" w:rsidRDefault="002261C9" w:rsidP="006943F3">
      <w:pPr>
        <w:rPr>
          <w:rFonts w:ascii="黑体" w:eastAsia="黑体" w:hAnsi="黑体" w:hint="eastAsia"/>
          <w:sz w:val="24"/>
          <w:szCs w:val="24"/>
        </w:rPr>
      </w:pPr>
    </w:p>
    <w:p w14:paraId="53345885" w14:textId="7411B1A1" w:rsidR="002261C9" w:rsidRPr="002A3225" w:rsidRDefault="002261C9">
      <w:pPr>
        <w:widowControl/>
        <w:jc w:val="left"/>
        <w:rPr>
          <w:rFonts w:ascii="黑体" w:eastAsia="黑体" w:hAnsi="黑体" w:hint="eastAsia"/>
          <w:sz w:val="24"/>
          <w:szCs w:val="24"/>
          <w:vertAlign w:val="superscript"/>
        </w:rPr>
      </w:pPr>
      <w:r w:rsidRPr="002A3225">
        <w:rPr>
          <w:rFonts w:ascii="黑体" w:eastAsia="黑体" w:hAnsi="黑体" w:hint="eastAsia"/>
          <w:sz w:val="24"/>
          <w:szCs w:val="24"/>
          <w:vertAlign w:val="superscript"/>
        </w:rPr>
        <w:br w:type="page"/>
      </w:r>
    </w:p>
    <w:p w14:paraId="3722436F" w14:textId="77777777" w:rsidR="006C69BF" w:rsidRPr="002A3225" w:rsidRDefault="006C69BF" w:rsidP="00727EA0">
      <w:pPr>
        <w:rPr>
          <w:rFonts w:ascii="黑体" w:eastAsia="黑体" w:hAnsi="黑体" w:hint="eastAsia"/>
          <w:sz w:val="24"/>
          <w:szCs w:val="24"/>
        </w:rPr>
      </w:pPr>
    </w:p>
    <w:p w14:paraId="663B9330" w14:textId="45277901" w:rsidR="006C69BF" w:rsidRPr="002A3225" w:rsidRDefault="006C69BF" w:rsidP="00727EA0">
      <w:pPr>
        <w:rPr>
          <w:rFonts w:ascii="黑体" w:eastAsia="黑体" w:hAnsi="黑体" w:hint="eastAsia"/>
          <w:sz w:val="24"/>
          <w:szCs w:val="24"/>
        </w:rPr>
      </w:pPr>
    </w:p>
    <w:p w14:paraId="5C20337E" w14:textId="096FC68D" w:rsidR="006C69BF" w:rsidRPr="002A3225" w:rsidRDefault="006C69BF" w:rsidP="00727EA0">
      <w:pPr>
        <w:rPr>
          <w:rFonts w:ascii="黑体" w:eastAsia="黑体" w:hAnsi="黑体" w:hint="eastAsia"/>
          <w:sz w:val="24"/>
          <w:szCs w:val="24"/>
        </w:rPr>
      </w:pPr>
    </w:p>
    <w:p w14:paraId="560873ED" w14:textId="57D71678" w:rsidR="006C69BF" w:rsidRPr="002A3225" w:rsidRDefault="006C69BF" w:rsidP="00727EA0">
      <w:pPr>
        <w:rPr>
          <w:rFonts w:ascii="黑体" w:eastAsia="黑体" w:hAnsi="黑体" w:hint="eastAsia"/>
          <w:sz w:val="24"/>
          <w:szCs w:val="24"/>
        </w:rPr>
      </w:pPr>
    </w:p>
    <w:p w14:paraId="4286C0ED" w14:textId="0E1299F7" w:rsidR="006C69BF" w:rsidRPr="002A3225" w:rsidRDefault="006C69BF" w:rsidP="00727EA0">
      <w:pPr>
        <w:rPr>
          <w:rFonts w:ascii="黑体" w:eastAsia="黑体" w:hAnsi="黑体" w:hint="eastAsia"/>
          <w:sz w:val="24"/>
          <w:szCs w:val="24"/>
        </w:rPr>
      </w:pPr>
    </w:p>
    <w:p w14:paraId="1FE12016" w14:textId="12515D07" w:rsidR="006C69BF" w:rsidRPr="002A3225" w:rsidRDefault="006C69BF" w:rsidP="00727EA0">
      <w:pPr>
        <w:rPr>
          <w:rFonts w:ascii="黑体" w:eastAsia="黑体" w:hAnsi="黑体" w:hint="eastAsia"/>
          <w:sz w:val="24"/>
          <w:szCs w:val="24"/>
        </w:rPr>
      </w:pPr>
    </w:p>
    <w:p w14:paraId="70CADAFB" w14:textId="2AB20891" w:rsidR="006C69BF" w:rsidRPr="002A3225" w:rsidRDefault="006C69BF" w:rsidP="00727EA0">
      <w:pPr>
        <w:rPr>
          <w:rFonts w:ascii="黑体" w:eastAsia="黑体" w:hAnsi="黑体" w:hint="eastAsia"/>
          <w:sz w:val="24"/>
          <w:szCs w:val="24"/>
        </w:rPr>
      </w:pPr>
    </w:p>
    <w:p w14:paraId="76772C8E" w14:textId="6DCC0D32" w:rsidR="006C69BF" w:rsidRPr="002A3225" w:rsidRDefault="006C69BF" w:rsidP="00727EA0">
      <w:pPr>
        <w:rPr>
          <w:rFonts w:ascii="黑体" w:eastAsia="黑体" w:hAnsi="黑体" w:hint="eastAsia"/>
          <w:sz w:val="24"/>
          <w:szCs w:val="24"/>
        </w:rPr>
      </w:pPr>
    </w:p>
    <w:p w14:paraId="602DCE71" w14:textId="1B3B80A7" w:rsidR="006C69BF" w:rsidRPr="002A3225" w:rsidRDefault="006C69BF" w:rsidP="00727EA0">
      <w:pPr>
        <w:rPr>
          <w:rFonts w:ascii="黑体" w:eastAsia="黑体" w:hAnsi="黑体" w:hint="eastAsia"/>
          <w:sz w:val="24"/>
          <w:szCs w:val="24"/>
        </w:rPr>
      </w:pPr>
    </w:p>
    <w:p w14:paraId="69866DEF" w14:textId="60D1C538" w:rsidR="006C69BF" w:rsidRPr="002A3225" w:rsidRDefault="006C69BF" w:rsidP="00727EA0">
      <w:pPr>
        <w:rPr>
          <w:rFonts w:ascii="黑体" w:eastAsia="黑体" w:hAnsi="黑体" w:hint="eastAsia"/>
          <w:sz w:val="24"/>
          <w:szCs w:val="24"/>
        </w:rPr>
      </w:pPr>
    </w:p>
    <w:p w14:paraId="264D464C" w14:textId="2303A845" w:rsidR="006C69BF" w:rsidRPr="002A3225" w:rsidRDefault="006C69BF" w:rsidP="00727EA0">
      <w:pPr>
        <w:rPr>
          <w:rFonts w:ascii="黑体" w:eastAsia="黑体" w:hAnsi="黑体" w:hint="eastAsia"/>
          <w:sz w:val="24"/>
          <w:szCs w:val="24"/>
        </w:rPr>
      </w:pPr>
    </w:p>
    <w:p w14:paraId="5FCB0C35" w14:textId="77777777" w:rsidR="006C69BF" w:rsidRPr="002A3225" w:rsidRDefault="006C69BF" w:rsidP="00727EA0">
      <w:pPr>
        <w:rPr>
          <w:rFonts w:ascii="黑体" w:eastAsia="黑体" w:hAnsi="黑体" w:hint="eastAsia"/>
          <w:sz w:val="24"/>
          <w:szCs w:val="24"/>
        </w:rPr>
      </w:pPr>
    </w:p>
    <w:p w14:paraId="19BDD8C1" w14:textId="77777777" w:rsidR="006C69BF" w:rsidRPr="002A3225" w:rsidRDefault="006C69BF" w:rsidP="00727EA0">
      <w:pPr>
        <w:rPr>
          <w:rFonts w:ascii="黑体" w:eastAsia="黑体" w:hAnsi="黑体" w:hint="eastAsia"/>
          <w:sz w:val="24"/>
          <w:szCs w:val="24"/>
        </w:rPr>
      </w:pPr>
    </w:p>
    <w:p w14:paraId="4D602138" w14:textId="5A876B57" w:rsidR="00441638" w:rsidRPr="002A3225" w:rsidRDefault="002A3225" w:rsidP="00826C94">
      <w:pPr>
        <w:rPr>
          <w:rFonts w:ascii="黑体" w:eastAsia="黑体" w:hAnsi="黑体" w:hint="eastAsia"/>
          <w:sz w:val="24"/>
          <w:szCs w:val="24"/>
        </w:rPr>
      </w:pPr>
      <w:r>
        <w:rPr>
          <w:rFonts w:ascii="楷体" w:eastAsia="楷体" w:hAnsi="楷体" w:hint="eastAsia"/>
          <w:sz w:val="24"/>
          <w:szCs w:val="24"/>
        </w:rPr>
        <w:t>①</w:t>
      </w:r>
      <w:r w:rsidR="002261C9" w:rsidRPr="002A3225">
        <w:rPr>
          <w:rFonts w:ascii="黑体" w:eastAsia="黑体" w:hAnsi="黑体" w:hint="eastAsia"/>
          <w:sz w:val="24"/>
          <w:szCs w:val="24"/>
        </w:rPr>
        <w:t>https://finance.sina.com.cn/roll/2025-09-09/doc-infpvtuu5545531.sht</w:t>
      </w:r>
      <w:r w:rsidR="00636053" w:rsidRPr="002A3225">
        <w:rPr>
          <w:rFonts w:ascii="黑体" w:eastAsia="黑体" w:hAnsi="黑体" w:hint="eastAsia"/>
          <w:sz w:val="24"/>
          <w:szCs w:val="24"/>
        </w:rPr>
        <w:t>ml</w:t>
      </w:r>
    </w:p>
    <w:p w14:paraId="78BF26B6" w14:textId="3F55B603" w:rsidR="00BA64B7" w:rsidRPr="002A3225" w:rsidRDefault="00411522" w:rsidP="00826C94">
      <w:pPr>
        <w:rPr>
          <w:rFonts w:ascii="黑体" w:eastAsia="黑体" w:hAnsi="黑体" w:hint="eastAsia"/>
          <w:sz w:val="24"/>
          <w:szCs w:val="24"/>
        </w:rPr>
      </w:pPr>
      <w:bookmarkStart w:id="1" w:name="_Hlk215505449"/>
      <w:r w:rsidRPr="002A3225">
        <w:rPr>
          <w:rFonts w:ascii="黑体" w:eastAsia="黑体" w:hAnsi="黑体" w:hint="eastAsia"/>
          <w:sz w:val="24"/>
          <w:szCs w:val="24"/>
        </w:rPr>
        <w:t>②</w:t>
      </w:r>
      <w:bookmarkEnd w:id="1"/>
      <w:r w:rsidRPr="002A3225">
        <w:rPr>
          <w:rFonts w:ascii="黑体" w:eastAsia="黑体" w:hAnsi="黑体" w:hint="eastAsia"/>
          <w:sz w:val="24"/>
          <w:szCs w:val="24"/>
        </w:rPr>
        <w:fldChar w:fldCharType="begin"/>
      </w:r>
      <w:r w:rsidRPr="002A3225">
        <w:rPr>
          <w:rFonts w:ascii="黑体" w:eastAsia="黑体" w:hAnsi="黑体" w:hint="eastAsia"/>
          <w:sz w:val="24"/>
          <w:szCs w:val="24"/>
        </w:rPr>
        <w:instrText>HYPERLINK "https://www.rmlt.com.cn/2018/0725/524095.shtml" \l ":~:text=%E3%80%90%E6%91%98%E8%A6%81%E3%80%91%E7%89%B9%E6%9C%97%E6%99%AE%E6%94%BF%E5%BA%9C%E9%A6%96%E4%BB%BD%E7%BE%8E%E5%9B%BD%E5%9B%BD%E5%AE%B6%E5%AE%89%E5%85%A8%E6%88%98%E7%95%A5%E6%8A%A5%E5%91%8A%E7%9A%84%E6%8C%87%E5%AF%BC%E6%80%9D%E6%83%B3%E4%B8%BB%E8%A6%81%E4%BD%93%E7%8E%B0%E5%9C%A8%E4%B8%A4%E5%A4%A7%E6%96%B9%E9%9D%A2%EF%BC%9A%E5%85%B6%E4%B8%80%EF%BC%8C%E5%A5%89%E8%A1%8C%E2%80%9C%E7%BE%8E%E5%9B%BD%E7%AC%AC%E4%B8%80%E2%80%9D%E7%9A%84%E6%80%9D%E6%83%B3%EF%BC%8C%E8%B4%A8%E7%96%91%E8%87%AA%E4%BA%8C%E6%88%98%E7%BB%93%E6%9D%9F%E4%BB%A5%E6%9D%A5%E6%8C%87%E5%AF%BC%E7%BE%8E%E5%9B%BD%E5%AF%B9%E5%A4%96%E5%A4%A7%E6%88%98%E7%95%A5%E6%80%9D%E6%83%B3%E7%9A%84%E8%87%AA%E7%94%B1%E5%9B%BD%E9%99%85%E4%B8%BB%E4%B9%89%EF%BC%9B%E5%85%B6%E4%BA%8C%EF%BC%8C%E4%BB%A5%E7%8E%B0%E5%AE%9E%E4%B8%BB%E4%B9%89%E7%9A%84%E5%9B%BD%E9%99%85%E6%94%BF%E6%B2%BB%E8%A7%82%E8%AE%A4%E8%AF%86%E5%A4%A7%E5%9B%BD%E5%85%B3%E7%B3%BB%E3%80%82,%E5%8F%97%E8%BF%99%E7%A7%8D%E6%80%9D%E6%83%B3%E7%9A%84%E5%BD%B1%E5%93%8D%EF%BC%8C%E8%AF%A5%E6%88%98%E7%95%A5%E6%8A%A5%E5%91%8A%E4%BB%8E%E5%AE%89%E5%85%A8%E3%80%81%E7%B9%81%E8%8D%A3%E3%80%81%E5%AE%9E%E5%8A%9B%E4%B8%8E%E5%BD%B1%E5%93%8D%E5%8A%9B%E7%AD%89%E5%9B%9B%E5%A4%A7%E6%96%B9%E9%9D%A2%E9%87%8D%E6%96%B0%E7%95%8C%E5%AE%9A%E4%BA%86%E7%BE%8E%E5%9B%BD%E5%9B%BD%E5%AE%B6%E5%88%A9%E7%9B%8A%E3%80%82"</w:instrText>
      </w:r>
      <w:r w:rsidRPr="002A3225">
        <w:rPr>
          <w:rFonts w:ascii="黑体" w:eastAsia="黑体" w:hAnsi="黑体" w:hint="eastAsia"/>
          <w:sz w:val="24"/>
          <w:szCs w:val="24"/>
        </w:rPr>
      </w:r>
      <w:r w:rsidRPr="002A3225">
        <w:rPr>
          <w:rFonts w:ascii="黑体" w:eastAsia="黑体" w:hAnsi="黑体" w:hint="eastAsia"/>
          <w:sz w:val="24"/>
          <w:szCs w:val="24"/>
        </w:rPr>
        <w:fldChar w:fldCharType="separate"/>
      </w:r>
      <w:r w:rsidRPr="002A3225">
        <w:rPr>
          <w:rFonts w:ascii="黑体" w:eastAsia="黑体" w:hAnsi="黑体"/>
          <w:sz w:val="24"/>
          <w:szCs w:val="24"/>
        </w:rPr>
        <w:t>2017年美国国家安全战略报告评析_学术前沿_人民论坛网 (rmlt.com.cn)</w:t>
      </w:r>
      <w:r w:rsidRPr="002A3225">
        <w:rPr>
          <w:rFonts w:ascii="黑体" w:eastAsia="黑体" w:hAnsi="黑体" w:hint="eastAsia"/>
          <w:sz w:val="24"/>
          <w:szCs w:val="24"/>
        </w:rPr>
        <w:fldChar w:fldCharType="end"/>
      </w:r>
    </w:p>
    <w:p w14:paraId="3C5310B0" w14:textId="4ACEE25A" w:rsidR="009002E7" w:rsidRPr="002A3225" w:rsidRDefault="007E365B" w:rsidP="00826C94">
      <w:pPr>
        <w:rPr>
          <w:rFonts w:ascii="黑体" w:eastAsia="黑体" w:hAnsi="黑体" w:hint="eastAsia"/>
          <w:sz w:val="24"/>
          <w:szCs w:val="24"/>
        </w:rPr>
      </w:pPr>
      <w:r w:rsidRPr="002A3225">
        <w:rPr>
          <w:rFonts w:ascii="黑体" w:eastAsia="黑体" w:hAnsi="黑体" w:hint="eastAsia"/>
          <w:sz w:val="24"/>
          <w:szCs w:val="24"/>
        </w:rPr>
        <w:t>③</w:t>
      </w:r>
      <w:hyperlink r:id="rId9" w:history="1">
        <w:r w:rsidR="009002E7" w:rsidRPr="002A3225">
          <w:rPr>
            <w:rFonts w:ascii="黑体" w:eastAsia="黑体" w:hAnsi="黑体"/>
            <w:sz w:val="24"/>
            <w:szCs w:val="24"/>
          </w:rPr>
          <w:t>Federal Register :: Framework for Artificial Intelligence Diffusion</w:t>
        </w:r>
      </w:hyperlink>
    </w:p>
    <w:p w14:paraId="47DF8B58" w14:textId="263D60FB" w:rsidR="004E3376" w:rsidRPr="002A3225" w:rsidRDefault="004E3376" w:rsidP="00826C94">
      <w:pPr>
        <w:rPr>
          <w:rFonts w:ascii="黑体" w:eastAsia="黑体" w:hAnsi="黑体" w:hint="eastAsia"/>
          <w:sz w:val="24"/>
          <w:szCs w:val="24"/>
        </w:rPr>
      </w:pPr>
      <w:r w:rsidRPr="002A3225">
        <w:rPr>
          <w:rFonts w:ascii="黑体" w:eastAsia="黑体" w:hAnsi="黑体" w:hint="eastAsia"/>
          <w:sz w:val="24"/>
          <w:szCs w:val="24"/>
        </w:rPr>
        <w:t>④[1]孙成昊,张丁.美国构建人工智能联盟的动因、路径与影响[J].当代美国评论,2024,8(01):90-109+131.</w:t>
      </w:r>
    </w:p>
    <w:p w14:paraId="7E20817A" w14:textId="30A8879F" w:rsidR="00B2090D" w:rsidRPr="002A3225" w:rsidRDefault="00B2090D" w:rsidP="00826C94">
      <w:pPr>
        <w:rPr>
          <w:rFonts w:ascii="黑体" w:eastAsia="黑体" w:hAnsi="黑体" w:hint="eastAsia"/>
          <w:sz w:val="24"/>
          <w:szCs w:val="24"/>
        </w:rPr>
      </w:pPr>
      <w:r w:rsidRPr="002A3225">
        <w:rPr>
          <w:rFonts w:ascii="黑体" w:eastAsia="黑体" w:hAnsi="黑体" w:hint="eastAsia"/>
          <w:sz w:val="24"/>
          <w:szCs w:val="24"/>
        </w:rPr>
        <w:t>⑤</w:t>
      </w:r>
      <w:r w:rsidR="00307C09" w:rsidRPr="002A3225">
        <w:rPr>
          <w:rFonts w:ascii="黑体" w:eastAsia="黑体" w:hAnsi="黑体" w:hint="eastAsia"/>
          <w:sz w:val="24"/>
          <w:szCs w:val="24"/>
        </w:rPr>
        <w:t>[1]宫云牧.欧盟监管权力与人工智能全球治理中的“布鲁塞尔效应”[J].信息安全与通信保密,1-15.</w:t>
      </w:r>
    </w:p>
    <w:p w14:paraId="4B5B45ED" w14:textId="64A500CD" w:rsidR="00410711" w:rsidRPr="002A3225" w:rsidRDefault="00410711" w:rsidP="00826C94">
      <w:pPr>
        <w:rPr>
          <w:rFonts w:ascii="黑体" w:eastAsia="黑体" w:hAnsi="黑体" w:hint="eastAsia"/>
          <w:sz w:val="24"/>
          <w:szCs w:val="24"/>
        </w:rPr>
      </w:pPr>
      <w:r w:rsidRPr="002A3225">
        <w:rPr>
          <w:rFonts w:ascii="黑体" w:eastAsia="黑体" w:hAnsi="黑体" w:hint="eastAsia"/>
          <w:sz w:val="24"/>
          <w:szCs w:val="24"/>
        </w:rPr>
        <w:t>⑥[1]丁迪.美国人工智能价值优先安全叙事的形成与影响[J].国际关系研究,2024,(06):91-111+156.</w:t>
      </w:r>
    </w:p>
    <w:p w14:paraId="3E6BBC7B" w14:textId="1A5B0F7F" w:rsidR="00410711" w:rsidRPr="002A3225" w:rsidRDefault="00410711" w:rsidP="00826C94">
      <w:pPr>
        <w:rPr>
          <w:rFonts w:ascii="黑体" w:eastAsia="黑体" w:hAnsi="黑体" w:hint="eastAsia"/>
          <w:sz w:val="24"/>
          <w:szCs w:val="24"/>
        </w:rPr>
      </w:pPr>
      <w:r w:rsidRPr="002A3225">
        <w:rPr>
          <w:rFonts w:ascii="黑体" w:eastAsia="黑体" w:hAnsi="黑体" w:hint="eastAsia"/>
          <w:sz w:val="24"/>
          <w:szCs w:val="24"/>
        </w:rPr>
        <w:t>⑦[1]张怡.越南网络安全法[J].南洋资料译丛,2018,(03):63-80.</w:t>
      </w:r>
    </w:p>
    <w:p w14:paraId="4A7D31FF" w14:textId="6E15FF28" w:rsidR="00410711" w:rsidRPr="002A3225" w:rsidRDefault="00410711" w:rsidP="00826C94">
      <w:pPr>
        <w:rPr>
          <w:rFonts w:ascii="黑体" w:eastAsia="黑体" w:hAnsi="黑体" w:hint="eastAsia"/>
          <w:sz w:val="24"/>
          <w:szCs w:val="24"/>
        </w:rPr>
      </w:pPr>
      <w:r w:rsidRPr="002A3225">
        <w:rPr>
          <w:rFonts w:ascii="黑体" w:eastAsia="黑体" w:hAnsi="黑体" w:hint="eastAsia"/>
          <w:sz w:val="24"/>
          <w:szCs w:val="24"/>
        </w:rPr>
        <w:t>⑧https://www.secrss.com/articles/57367</w:t>
      </w:r>
    </w:p>
    <w:p w14:paraId="2B578DDA" w14:textId="4AF1354A" w:rsidR="00833200" w:rsidRPr="002A3225" w:rsidRDefault="00833200" w:rsidP="00826C94">
      <w:pPr>
        <w:rPr>
          <w:rFonts w:ascii="黑体" w:eastAsia="黑体" w:hAnsi="黑体" w:hint="eastAsia"/>
          <w:sz w:val="24"/>
          <w:szCs w:val="24"/>
        </w:rPr>
      </w:pPr>
      <w:r w:rsidRPr="002A3225">
        <w:rPr>
          <w:rFonts w:ascii="黑体" w:eastAsia="黑体" w:hAnsi="黑体" w:hint="eastAsia"/>
          <w:sz w:val="24"/>
          <w:szCs w:val="24"/>
        </w:rPr>
        <w:t>⑨</w:t>
      </w:r>
      <w:r w:rsidRPr="002A3225">
        <w:rPr>
          <w:rFonts w:ascii="黑体" w:eastAsia="黑体" w:hAnsi="黑体"/>
          <w:sz w:val="24"/>
          <w:szCs w:val="24"/>
        </w:rPr>
        <w:t>王传剑, 刘晓健. 美国对华竞争背景下新加坡平衡外交的发展解析[J]. 印度洋经济体研究, 2024, (03): 45-69+153.</w:t>
      </w:r>
    </w:p>
    <w:p w14:paraId="160C4857" w14:textId="79ECE631" w:rsidR="00557A6B" w:rsidRPr="002A3225" w:rsidRDefault="00557A6B" w:rsidP="00826C94">
      <w:pPr>
        <w:rPr>
          <w:rFonts w:ascii="黑体" w:eastAsia="黑体" w:hAnsi="黑体" w:hint="eastAsia"/>
          <w:sz w:val="24"/>
          <w:szCs w:val="24"/>
        </w:rPr>
      </w:pPr>
      <w:r w:rsidRPr="002A3225">
        <w:rPr>
          <w:rFonts w:ascii="黑体" w:eastAsia="黑体" w:hAnsi="黑体" w:hint="eastAsia"/>
          <w:sz w:val="24"/>
          <w:szCs w:val="24"/>
        </w:rPr>
        <w:t>⑩</w:t>
      </w:r>
      <w:r w:rsidRPr="002A3225">
        <w:rPr>
          <w:rFonts w:ascii="黑体" w:eastAsia="黑体" w:hAnsi="黑体"/>
          <w:sz w:val="24"/>
          <w:szCs w:val="24"/>
        </w:rPr>
        <w:t>蔡翠红, 张璐瑶. 人工智能区域合作的比较研究——以东盟、欧盟、海合会为例[J]. 同济大学学报(社会科学版), 2025, 36 (04): 23-36.</w:t>
      </w:r>
    </w:p>
    <w:p w14:paraId="4899CC15" w14:textId="703FEAA0" w:rsidR="00557A6B" w:rsidRPr="00557A6B" w:rsidRDefault="00557A6B" w:rsidP="00833200">
      <w:pPr>
        <w:rPr>
          <w:rFonts w:eastAsiaTheme="minorHAnsi" w:hint="eastAsia"/>
          <w:sz w:val="24"/>
          <w:szCs w:val="24"/>
        </w:rPr>
      </w:pPr>
    </w:p>
    <w:p w14:paraId="7003B359" w14:textId="58E9AE60" w:rsidR="00833200" w:rsidRPr="00557A6B" w:rsidRDefault="00833200" w:rsidP="009002E7">
      <w:pPr>
        <w:rPr>
          <w:rFonts w:eastAsiaTheme="minorHAnsi" w:hint="eastAsia"/>
          <w:sz w:val="24"/>
          <w:szCs w:val="24"/>
        </w:rPr>
      </w:pPr>
    </w:p>
    <w:p w14:paraId="6C1FAC72" w14:textId="4FC59724" w:rsidR="00686D30" w:rsidRPr="00411522" w:rsidRDefault="00686D30">
      <w:pPr>
        <w:rPr>
          <w:rFonts w:eastAsiaTheme="minorHAnsi" w:hint="eastAsia"/>
          <w:sz w:val="24"/>
          <w:szCs w:val="24"/>
        </w:rPr>
      </w:pPr>
    </w:p>
    <w:sectPr w:rsidR="00686D30" w:rsidRPr="004115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4C9DE" w14:textId="77777777" w:rsidR="00F0112C" w:rsidRDefault="00F0112C" w:rsidP="00356E45">
      <w:pPr>
        <w:rPr>
          <w:rFonts w:hint="eastAsia"/>
        </w:rPr>
      </w:pPr>
      <w:r>
        <w:separator/>
      </w:r>
    </w:p>
  </w:endnote>
  <w:endnote w:type="continuationSeparator" w:id="0">
    <w:p w14:paraId="35244B45" w14:textId="77777777" w:rsidR="00F0112C" w:rsidRDefault="00F0112C" w:rsidP="00356E4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188A6" w14:textId="77777777" w:rsidR="00F0112C" w:rsidRDefault="00F0112C" w:rsidP="00356E45">
      <w:pPr>
        <w:rPr>
          <w:rFonts w:hint="eastAsia"/>
        </w:rPr>
      </w:pPr>
      <w:r>
        <w:separator/>
      </w:r>
    </w:p>
  </w:footnote>
  <w:footnote w:type="continuationSeparator" w:id="0">
    <w:p w14:paraId="485533B3" w14:textId="77777777" w:rsidR="00F0112C" w:rsidRDefault="00F0112C" w:rsidP="00356E45">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166B"/>
    <w:multiLevelType w:val="multilevel"/>
    <w:tmpl w:val="5900C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253F64"/>
    <w:multiLevelType w:val="multilevel"/>
    <w:tmpl w:val="3230B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FA30F3"/>
    <w:multiLevelType w:val="multilevel"/>
    <w:tmpl w:val="5448E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2A43EB"/>
    <w:multiLevelType w:val="multilevel"/>
    <w:tmpl w:val="8CAC3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832BEE"/>
    <w:multiLevelType w:val="multilevel"/>
    <w:tmpl w:val="0BB8F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8C1A49"/>
    <w:multiLevelType w:val="multilevel"/>
    <w:tmpl w:val="195AF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4F4996"/>
    <w:multiLevelType w:val="multilevel"/>
    <w:tmpl w:val="98568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D94E14"/>
    <w:multiLevelType w:val="multilevel"/>
    <w:tmpl w:val="32986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7C29CE"/>
    <w:multiLevelType w:val="multilevel"/>
    <w:tmpl w:val="217C0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1F67AA"/>
    <w:multiLevelType w:val="multilevel"/>
    <w:tmpl w:val="58844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C274E3"/>
    <w:multiLevelType w:val="multilevel"/>
    <w:tmpl w:val="DCAA0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4E5CB1"/>
    <w:multiLevelType w:val="multilevel"/>
    <w:tmpl w:val="96EEA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545193"/>
    <w:multiLevelType w:val="multilevel"/>
    <w:tmpl w:val="5A666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2B0AB1"/>
    <w:multiLevelType w:val="multilevel"/>
    <w:tmpl w:val="AE544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44597D"/>
    <w:multiLevelType w:val="multilevel"/>
    <w:tmpl w:val="CF50D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7E27FA4"/>
    <w:multiLevelType w:val="multilevel"/>
    <w:tmpl w:val="0A3E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EA075D"/>
    <w:multiLevelType w:val="multilevel"/>
    <w:tmpl w:val="46301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50951EC"/>
    <w:multiLevelType w:val="multilevel"/>
    <w:tmpl w:val="32763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474B63"/>
    <w:multiLevelType w:val="multilevel"/>
    <w:tmpl w:val="8E7A8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653247"/>
    <w:multiLevelType w:val="multilevel"/>
    <w:tmpl w:val="13ECC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F552A78"/>
    <w:multiLevelType w:val="multilevel"/>
    <w:tmpl w:val="10ACD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99078995">
    <w:abstractNumId w:val="3"/>
  </w:num>
  <w:num w:numId="2" w16cid:durableId="419299604">
    <w:abstractNumId w:val="6"/>
  </w:num>
  <w:num w:numId="3" w16cid:durableId="276061065">
    <w:abstractNumId w:val="4"/>
  </w:num>
  <w:num w:numId="4" w16cid:durableId="1632249443">
    <w:abstractNumId w:val="18"/>
  </w:num>
  <w:num w:numId="5" w16cid:durableId="325131165">
    <w:abstractNumId w:val="7"/>
  </w:num>
  <w:num w:numId="6" w16cid:durableId="1443920780">
    <w:abstractNumId w:val="2"/>
  </w:num>
  <w:num w:numId="7" w16cid:durableId="106507347">
    <w:abstractNumId w:val="5"/>
  </w:num>
  <w:num w:numId="8" w16cid:durableId="1662736592">
    <w:abstractNumId w:val="14"/>
  </w:num>
  <w:num w:numId="9" w16cid:durableId="1582909949">
    <w:abstractNumId w:val="17"/>
  </w:num>
  <w:num w:numId="10" w16cid:durableId="1759864252">
    <w:abstractNumId w:val="11"/>
  </w:num>
  <w:num w:numId="11" w16cid:durableId="921840679">
    <w:abstractNumId w:val="12"/>
  </w:num>
  <w:num w:numId="12" w16cid:durableId="244189781">
    <w:abstractNumId w:val="20"/>
  </w:num>
  <w:num w:numId="13" w16cid:durableId="947466938">
    <w:abstractNumId w:val="0"/>
  </w:num>
  <w:num w:numId="14" w16cid:durableId="503864230">
    <w:abstractNumId w:val="1"/>
  </w:num>
  <w:num w:numId="15" w16cid:durableId="1603952387">
    <w:abstractNumId w:val="9"/>
  </w:num>
  <w:num w:numId="16" w16cid:durableId="496380634">
    <w:abstractNumId w:val="16"/>
  </w:num>
  <w:num w:numId="17" w16cid:durableId="1490175480">
    <w:abstractNumId w:val="10"/>
  </w:num>
  <w:num w:numId="18" w16cid:durableId="893659089">
    <w:abstractNumId w:val="19"/>
  </w:num>
  <w:num w:numId="19" w16cid:durableId="1780182638">
    <w:abstractNumId w:val="8"/>
  </w:num>
  <w:num w:numId="20" w16cid:durableId="972714960">
    <w:abstractNumId w:val="15"/>
  </w:num>
  <w:num w:numId="21" w16cid:durableId="7893247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91E"/>
    <w:rsid w:val="000114D8"/>
    <w:rsid w:val="00046B7A"/>
    <w:rsid w:val="000A7EBB"/>
    <w:rsid w:val="000C2FFD"/>
    <w:rsid w:val="0011266E"/>
    <w:rsid w:val="00120319"/>
    <w:rsid w:val="00164C27"/>
    <w:rsid w:val="0017375E"/>
    <w:rsid w:val="001D6981"/>
    <w:rsid w:val="002261C9"/>
    <w:rsid w:val="0025535E"/>
    <w:rsid w:val="00271E2E"/>
    <w:rsid w:val="00277EAA"/>
    <w:rsid w:val="002A3225"/>
    <w:rsid w:val="002A533B"/>
    <w:rsid w:val="002B16BF"/>
    <w:rsid w:val="002D5969"/>
    <w:rsid w:val="002E5B4C"/>
    <w:rsid w:val="002F0D15"/>
    <w:rsid w:val="00307C09"/>
    <w:rsid w:val="00323BDC"/>
    <w:rsid w:val="00332034"/>
    <w:rsid w:val="003338A7"/>
    <w:rsid w:val="00342433"/>
    <w:rsid w:val="00353299"/>
    <w:rsid w:val="00356E45"/>
    <w:rsid w:val="00366FEA"/>
    <w:rsid w:val="003806C9"/>
    <w:rsid w:val="0038296C"/>
    <w:rsid w:val="003939AD"/>
    <w:rsid w:val="00396042"/>
    <w:rsid w:val="003C391E"/>
    <w:rsid w:val="003D1EC8"/>
    <w:rsid w:val="003E6672"/>
    <w:rsid w:val="003F22EA"/>
    <w:rsid w:val="003F736E"/>
    <w:rsid w:val="00405040"/>
    <w:rsid w:val="00410711"/>
    <w:rsid w:val="00411522"/>
    <w:rsid w:val="00414669"/>
    <w:rsid w:val="00414759"/>
    <w:rsid w:val="004172C5"/>
    <w:rsid w:val="00441638"/>
    <w:rsid w:val="00457100"/>
    <w:rsid w:val="004611B1"/>
    <w:rsid w:val="00467D46"/>
    <w:rsid w:val="00471F48"/>
    <w:rsid w:val="004A2FCA"/>
    <w:rsid w:val="004B564D"/>
    <w:rsid w:val="004B5C8E"/>
    <w:rsid w:val="004B5DC3"/>
    <w:rsid w:val="004E1087"/>
    <w:rsid w:val="004E3376"/>
    <w:rsid w:val="00512F5B"/>
    <w:rsid w:val="00557A6B"/>
    <w:rsid w:val="00580B01"/>
    <w:rsid w:val="005D329C"/>
    <w:rsid w:val="005E41CC"/>
    <w:rsid w:val="005F3677"/>
    <w:rsid w:val="00636053"/>
    <w:rsid w:val="00636D68"/>
    <w:rsid w:val="00644BB5"/>
    <w:rsid w:val="00650E79"/>
    <w:rsid w:val="00686D30"/>
    <w:rsid w:val="006943F3"/>
    <w:rsid w:val="006A5882"/>
    <w:rsid w:val="006A755E"/>
    <w:rsid w:val="006C2228"/>
    <w:rsid w:val="006C69BF"/>
    <w:rsid w:val="006C6E42"/>
    <w:rsid w:val="006D2C1B"/>
    <w:rsid w:val="006F2C9A"/>
    <w:rsid w:val="00707169"/>
    <w:rsid w:val="00726505"/>
    <w:rsid w:val="00727EA0"/>
    <w:rsid w:val="00773570"/>
    <w:rsid w:val="007A2977"/>
    <w:rsid w:val="007B559A"/>
    <w:rsid w:val="007E365B"/>
    <w:rsid w:val="00802BA4"/>
    <w:rsid w:val="008223CC"/>
    <w:rsid w:val="00826C94"/>
    <w:rsid w:val="00833200"/>
    <w:rsid w:val="008334B5"/>
    <w:rsid w:val="008449F8"/>
    <w:rsid w:val="0084694B"/>
    <w:rsid w:val="0085171A"/>
    <w:rsid w:val="00866CEE"/>
    <w:rsid w:val="00867665"/>
    <w:rsid w:val="008711C0"/>
    <w:rsid w:val="00875A1E"/>
    <w:rsid w:val="008824BE"/>
    <w:rsid w:val="008944FC"/>
    <w:rsid w:val="008A67CF"/>
    <w:rsid w:val="008B50AF"/>
    <w:rsid w:val="008D2580"/>
    <w:rsid w:val="008E744B"/>
    <w:rsid w:val="009002E7"/>
    <w:rsid w:val="009064C4"/>
    <w:rsid w:val="009978F6"/>
    <w:rsid w:val="009C74BA"/>
    <w:rsid w:val="009D3C6F"/>
    <w:rsid w:val="009E4339"/>
    <w:rsid w:val="00A11BFE"/>
    <w:rsid w:val="00A2377F"/>
    <w:rsid w:val="00A511A1"/>
    <w:rsid w:val="00A8091D"/>
    <w:rsid w:val="00A82B14"/>
    <w:rsid w:val="00A84B7E"/>
    <w:rsid w:val="00AA371C"/>
    <w:rsid w:val="00AD5E8D"/>
    <w:rsid w:val="00AF7D4D"/>
    <w:rsid w:val="00B04590"/>
    <w:rsid w:val="00B0681C"/>
    <w:rsid w:val="00B2090D"/>
    <w:rsid w:val="00B645C0"/>
    <w:rsid w:val="00B82513"/>
    <w:rsid w:val="00B9237F"/>
    <w:rsid w:val="00B97FB5"/>
    <w:rsid w:val="00BA49F8"/>
    <w:rsid w:val="00BA64B7"/>
    <w:rsid w:val="00BD6A57"/>
    <w:rsid w:val="00C94192"/>
    <w:rsid w:val="00C944C9"/>
    <w:rsid w:val="00CB29DD"/>
    <w:rsid w:val="00CD3181"/>
    <w:rsid w:val="00CF03C3"/>
    <w:rsid w:val="00CF1166"/>
    <w:rsid w:val="00D1548B"/>
    <w:rsid w:val="00D20D2C"/>
    <w:rsid w:val="00D3795A"/>
    <w:rsid w:val="00D42052"/>
    <w:rsid w:val="00D54087"/>
    <w:rsid w:val="00D746AC"/>
    <w:rsid w:val="00D96C84"/>
    <w:rsid w:val="00DE59FC"/>
    <w:rsid w:val="00E13337"/>
    <w:rsid w:val="00E178F4"/>
    <w:rsid w:val="00E25B1A"/>
    <w:rsid w:val="00E7467C"/>
    <w:rsid w:val="00E803FD"/>
    <w:rsid w:val="00E86D2E"/>
    <w:rsid w:val="00EA130D"/>
    <w:rsid w:val="00ED1C2E"/>
    <w:rsid w:val="00EF6C57"/>
    <w:rsid w:val="00F0112C"/>
    <w:rsid w:val="00F04F53"/>
    <w:rsid w:val="00F22250"/>
    <w:rsid w:val="00F32263"/>
    <w:rsid w:val="00F5159F"/>
    <w:rsid w:val="00F55E07"/>
    <w:rsid w:val="00F674CD"/>
    <w:rsid w:val="00FB7B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37F493"/>
  <w15:chartTrackingRefBased/>
  <w15:docId w15:val="{62732E9B-1262-41D3-8B01-BB6970015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03C3"/>
    <w:pPr>
      <w:widowControl w:val="0"/>
      <w:jc w:val="both"/>
    </w:pPr>
  </w:style>
  <w:style w:type="paragraph" w:styleId="1">
    <w:name w:val="heading 1"/>
    <w:basedOn w:val="a"/>
    <w:next w:val="a"/>
    <w:link w:val="10"/>
    <w:uiPriority w:val="9"/>
    <w:qFormat/>
    <w:rsid w:val="003C391E"/>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3C391E"/>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unhideWhenUsed/>
    <w:qFormat/>
    <w:rsid w:val="003C391E"/>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3C391E"/>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3C391E"/>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3C391E"/>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3C391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C391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3C391E"/>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C391E"/>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3C391E"/>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rsid w:val="003C391E"/>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3C391E"/>
    <w:rPr>
      <w:rFonts w:cstheme="majorBidi"/>
      <w:color w:val="2F5496" w:themeColor="accent1" w:themeShade="BF"/>
      <w:sz w:val="28"/>
      <w:szCs w:val="28"/>
    </w:rPr>
  </w:style>
  <w:style w:type="character" w:customStyle="1" w:styleId="50">
    <w:name w:val="标题 5 字符"/>
    <w:basedOn w:val="a0"/>
    <w:link w:val="5"/>
    <w:uiPriority w:val="9"/>
    <w:semiHidden/>
    <w:rsid w:val="003C391E"/>
    <w:rPr>
      <w:rFonts w:cstheme="majorBidi"/>
      <w:color w:val="2F5496" w:themeColor="accent1" w:themeShade="BF"/>
      <w:sz w:val="24"/>
      <w:szCs w:val="24"/>
    </w:rPr>
  </w:style>
  <w:style w:type="character" w:customStyle="1" w:styleId="60">
    <w:name w:val="标题 6 字符"/>
    <w:basedOn w:val="a0"/>
    <w:link w:val="6"/>
    <w:uiPriority w:val="9"/>
    <w:semiHidden/>
    <w:rsid w:val="003C391E"/>
    <w:rPr>
      <w:rFonts w:cstheme="majorBidi"/>
      <w:b/>
      <w:bCs/>
      <w:color w:val="2F5496" w:themeColor="accent1" w:themeShade="BF"/>
    </w:rPr>
  </w:style>
  <w:style w:type="character" w:customStyle="1" w:styleId="70">
    <w:name w:val="标题 7 字符"/>
    <w:basedOn w:val="a0"/>
    <w:link w:val="7"/>
    <w:uiPriority w:val="9"/>
    <w:semiHidden/>
    <w:rsid w:val="003C391E"/>
    <w:rPr>
      <w:rFonts w:cstheme="majorBidi"/>
      <w:b/>
      <w:bCs/>
      <w:color w:val="595959" w:themeColor="text1" w:themeTint="A6"/>
    </w:rPr>
  </w:style>
  <w:style w:type="character" w:customStyle="1" w:styleId="80">
    <w:name w:val="标题 8 字符"/>
    <w:basedOn w:val="a0"/>
    <w:link w:val="8"/>
    <w:uiPriority w:val="9"/>
    <w:semiHidden/>
    <w:rsid w:val="003C391E"/>
    <w:rPr>
      <w:rFonts w:cstheme="majorBidi"/>
      <w:color w:val="595959" w:themeColor="text1" w:themeTint="A6"/>
    </w:rPr>
  </w:style>
  <w:style w:type="character" w:customStyle="1" w:styleId="90">
    <w:name w:val="标题 9 字符"/>
    <w:basedOn w:val="a0"/>
    <w:link w:val="9"/>
    <w:uiPriority w:val="9"/>
    <w:semiHidden/>
    <w:rsid w:val="003C391E"/>
    <w:rPr>
      <w:rFonts w:eastAsiaTheme="majorEastAsia" w:cstheme="majorBidi"/>
      <w:color w:val="595959" w:themeColor="text1" w:themeTint="A6"/>
    </w:rPr>
  </w:style>
  <w:style w:type="paragraph" w:styleId="a3">
    <w:name w:val="Title"/>
    <w:basedOn w:val="a"/>
    <w:next w:val="a"/>
    <w:link w:val="a4"/>
    <w:uiPriority w:val="10"/>
    <w:qFormat/>
    <w:rsid w:val="003C391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C39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C391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C391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C391E"/>
    <w:pPr>
      <w:spacing w:before="160" w:after="160"/>
      <w:jc w:val="center"/>
    </w:pPr>
    <w:rPr>
      <w:i/>
      <w:iCs/>
      <w:color w:val="404040" w:themeColor="text1" w:themeTint="BF"/>
    </w:rPr>
  </w:style>
  <w:style w:type="character" w:customStyle="1" w:styleId="a8">
    <w:name w:val="引用 字符"/>
    <w:basedOn w:val="a0"/>
    <w:link w:val="a7"/>
    <w:uiPriority w:val="29"/>
    <w:rsid w:val="003C391E"/>
    <w:rPr>
      <w:i/>
      <w:iCs/>
      <w:color w:val="404040" w:themeColor="text1" w:themeTint="BF"/>
    </w:rPr>
  </w:style>
  <w:style w:type="paragraph" w:styleId="a9">
    <w:name w:val="List Paragraph"/>
    <w:basedOn w:val="a"/>
    <w:uiPriority w:val="34"/>
    <w:qFormat/>
    <w:rsid w:val="003C391E"/>
    <w:pPr>
      <w:ind w:left="720"/>
      <w:contextualSpacing/>
    </w:pPr>
  </w:style>
  <w:style w:type="character" w:styleId="aa">
    <w:name w:val="Intense Emphasis"/>
    <w:basedOn w:val="a0"/>
    <w:uiPriority w:val="21"/>
    <w:qFormat/>
    <w:rsid w:val="003C391E"/>
    <w:rPr>
      <w:i/>
      <w:iCs/>
      <w:color w:val="2F5496" w:themeColor="accent1" w:themeShade="BF"/>
    </w:rPr>
  </w:style>
  <w:style w:type="paragraph" w:styleId="ab">
    <w:name w:val="Intense Quote"/>
    <w:basedOn w:val="a"/>
    <w:next w:val="a"/>
    <w:link w:val="ac"/>
    <w:uiPriority w:val="30"/>
    <w:qFormat/>
    <w:rsid w:val="003C39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3C391E"/>
    <w:rPr>
      <w:i/>
      <w:iCs/>
      <w:color w:val="2F5496" w:themeColor="accent1" w:themeShade="BF"/>
    </w:rPr>
  </w:style>
  <w:style w:type="character" w:styleId="ad">
    <w:name w:val="Intense Reference"/>
    <w:basedOn w:val="a0"/>
    <w:uiPriority w:val="32"/>
    <w:qFormat/>
    <w:rsid w:val="003C391E"/>
    <w:rPr>
      <w:b/>
      <w:bCs/>
      <w:smallCaps/>
      <w:color w:val="2F5496" w:themeColor="accent1" w:themeShade="BF"/>
      <w:spacing w:val="5"/>
    </w:rPr>
  </w:style>
  <w:style w:type="paragraph" w:styleId="ae">
    <w:name w:val="header"/>
    <w:basedOn w:val="a"/>
    <w:link w:val="af"/>
    <w:uiPriority w:val="99"/>
    <w:unhideWhenUsed/>
    <w:rsid w:val="00356E45"/>
    <w:pPr>
      <w:tabs>
        <w:tab w:val="center" w:pos="4153"/>
        <w:tab w:val="right" w:pos="8306"/>
      </w:tabs>
      <w:snapToGrid w:val="0"/>
      <w:jc w:val="center"/>
    </w:pPr>
    <w:rPr>
      <w:sz w:val="18"/>
      <w:szCs w:val="18"/>
    </w:rPr>
  </w:style>
  <w:style w:type="character" w:customStyle="1" w:styleId="af">
    <w:name w:val="页眉 字符"/>
    <w:basedOn w:val="a0"/>
    <w:link w:val="ae"/>
    <w:uiPriority w:val="99"/>
    <w:rsid w:val="00356E45"/>
    <w:rPr>
      <w:sz w:val="18"/>
      <w:szCs w:val="18"/>
    </w:rPr>
  </w:style>
  <w:style w:type="paragraph" w:styleId="af0">
    <w:name w:val="footer"/>
    <w:basedOn w:val="a"/>
    <w:link w:val="af1"/>
    <w:uiPriority w:val="99"/>
    <w:unhideWhenUsed/>
    <w:rsid w:val="00356E45"/>
    <w:pPr>
      <w:tabs>
        <w:tab w:val="center" w:pos="4153"/>
        <w:tab w:val="right" w:pos="8306"/>
      </w:tabs>
      <w:snapToGrid w:val="0"/>
      <w:jc w:val="left"/>
    </w:pPr>
    <w:rPr>
      <w:sz w:val="18"/>
      <w:szCs w:val="18"/>
    </w:rPr>
  </w:style>
  <w:style w:type="character" w:customStyle="1" w:styleId="af1">
    <w:name w:val="页脚 字符"/>
    <w:basedOn w:val="a0"/>
    <w:link w:val="af0"/>
    <w:uiPriority w:val="99"/>
    <w:rsid w:val="00356E45"/>
    <w:rPr>
      <w:sz w:val="18"/>
      <w:szCs w:val="18"/>
    </w:rPr>
  </w:style>
  <w:style w:type="character" w:styleId="af2">
    <w:name w:val="Hyperlink"/>
    <w:basedOn w:val="a0"/>
    <w:uiPriority w:val="99"/>
    <w:unhideWhenUsed/>
    <w:rsid w:val="002261C9"/>
    <w:rPr>
      <w:color w:val="0563C1" w:themeColor="hyperlink"/>
      <w:u w:val="single"/>
    </w:rPr>
  </w:style>
  <w:style w:type="character" w:styleId="af3">
    <w:name w:val="Unresolved Mention"/>
    <w:basedOn w:val="a0"/>
    <w:uiPriority w:val="99"/>
    <w:semiHidden/>
    <w:unhideWhenUsed/>
    <w:rsid w:val="002261C9"/>
    <w:rPr>
      <w:color w:val="605E5C"/>
      <w:shd w:val="clear" w:color="auto" w:fill="E1DFDD"/>
    </w:rPr>
  </w:style>
  <w:style w:type="table" w:styleId="af4">
    <w:name w:val="Table Grid"/>
    <w:basedOn w:val="a1"/>
    <w:uiPriority w:val="39"/>
    <w:rsid w:val="004B5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basedOn w:val="a0"/>
    <w:uiPriority w:val="22"/>
    <w:qFormat/>
    <w:rsid w:val="005F36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ederalregister.gov/documents/2025/01/15/2025-00636/framework-for-artificial-intelligence-diffusio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F9BEE-29D2-4598-A4D4-94E0E1304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14</Pages>
  <Words>6395</Words>
  <Characters>6587</Characters>
  <Application>Microsoft Office Word</Application>
  <DocSecurity>0</DocSecurity>
  <Lines>243</Lines>
  <Paragraphs>111</Paragraphs>
  <ScaleCrop>false</ScaleCrop>
  <Company/>
  <LinksUpToDate>false</LinksUpToDate>
  <CharactersWithSpaces>12871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瑞 符</dc:creator>
  <cp:keywords/>
  <dc:description/>
  <cp:lastModifiedBy>瑞 符</cp:lastModifiedBy>
  <cp:revision>17</cp:revision>
  <dcterms:created xsi:type="dcterms:W3CDTF">2025-12-05T16:23:00Z</dcterms:created>
  <dcterms:modified xsi:type="dcterms:W3CDTF">2025-12-10T08:08:00Z</dcterms:modified>
</cp:coreProperties>
</file>